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9248A" w14:paraId="0D1A01D7" w14:textId="77777777">
        <w:tblPrEx>
          <w:tblCellMar>
            <w:top w:w="0" w:type="dxa"/>
            <w:bottom w:w="0" w:type="dxa"/>
          </w:tblCellMar>
        </w:tblPrEx>
        <w:tc>
          <w:tcPr>
            <w:tcW w:w="9360" w:type="dxa"/>
            <w:tcBorders>
              <w:bottom w:val="single" w:sz="8" w:space="0" w:color="007A6E"/>
            </w:tcBorders>
            <w:shd w:val="clear" w:color="auto" w:fill="111111"/>
            <w:tcMar>
              <w:top w:w="160" w:type="dxa"/>
              <w:left w:w="0" w:type="dxa"/>
              <w:bottom w:w="160" w:type="dxa"/>
              <w:right w:w="0" w:type="dxa"/>
            </w:tcMar>
          </w:tcPr>
          <w:p w14:paraId="05F3999B" w14:textId="77777777" w:rsidR="008D0C30" w:rsidRDefault="00000000">
            <w:pPr>
              <w:jc w:val="center"/>
              <w:rPr>
                <w:b/>
                <w:bCs/>
                <w:color w:val="007A6E"/>
                <w:spacing w:val="200"/>
                <w:sz w:val="17"/>
                <w:szCs w:val="17"/>
              </w:rPr>
            </w:pPr>
            <w:r>
              <w:rPr>
                <w:b/>
                <w:bCs/>
                <w:color w:val="007A6E"/>
                <w:spacing w:val="200"/>
                <w:sz w:val="17"/>
                <w:szCs w:val="17"/>
              </w:rPr>
              <w:t>REVENUE TEARDOWN</w:t>
            </w:r>
          </w:p>
          <w:p w14:paraId="2D4E4751" w14:textId="77777777" w:rsidR="008D0C30" w:rsidRDefault="00000000">
            <w:pPr>
              <w:jc w:val="center"/>
              <w:rPr>
                <w:b/>
                <w:bCs/>
                <w:color w:val="007A6E"/>
                <w:spacing w:val="200"/>
                <w:sz w:val="17"/>
                <w:szCs w:val="17"/>
              </w:rPr>
            </w:pPr>
            <w:r>
              <w:rPr>
                <w:b/>
                <w:bCs/>
                <w:color w:val="007A6E"/>
                <w:spacing w:val="200"/>
                <w:sz w:val="17"/>
                <w:szCs w:val="17"/>
              </w:rPr>
              <w:t>·  MONETIZATION STRATEGY  ·</w:t>
            </w:r>
          </w:p>
          <w:p w14:paraId="4966F035" w14:textId="54E6DB69" w:rsidR="00F9248A" w:rsidRDefault="00000000">
            <w:pPr>
              <w:jc w:val="center"/>
            </w:pPr>
            <w:r>
              <w:rPr>
                <w:b/>
                <w:bCs/>
                <w:color w:val="007A6E"/>
                <w:spacing w:val="200"/>
                <w:sz w:val="17"/>
                <w:szCs w:val="17"/>
              </w:rPr>
              <w:t>2025</w:t>
            </w:r>
            <w:r w:rsidR="008D0C30">
              <w:rPr>
                <w:b/>
                <w:bCs/>
                <w:color w:val="007A6E"/>
                <w:spacing w:val="200"/>
                <w:sz w:val="17"/>
                <w:szCs w:val="17"/>
              </w:rPr>
              <w:t>-26</w:t>
            </w:r>
          </w:p>
        </w:tc>
      </w:tr>
    </w:tbl>
    <w:p w14:paraId="39C54DC1" w14:textId="77777777" w:rsidR="00F9248A" w:rsidRDefault="00F9248A">
      <w:pPr>
        <w:spacing w:before="540"/>
      </w:pPr>
    </w:p>
    <w:p w14:paraId="56C74A19" w14:textId="0AC807D7" w:rsidR="008D0C30" w:rsidRDefault="00000000">
      <w:pPr>
        <w:spacing w:after="100"/>
        <w:rPr>
          <w:b/>
          <w:bCs/>
          <w:color w:val="888888"/>
          <w:spacing w:val="300"/>
          <w:sz w:val="19"/>
          <w:szCs w:val="19"/>
        </w:rPr>
      </w:pPr>
      <w:r>
        <w:rPr>
          <w:b/>
          <w:bCs/>
          <w:color w:val="888888"/>
          <w:spacing w:val="300"/>
          <w:sz w:val="19"/>
          <w:szCs w:val="19"/>
        </w:rPr>
        <w:t>SUBJECT·CRED</w:t>
      </w:r>
      <w:r w:rsidR="008D0C30">
        <w:rPr>
          <w:b/>
          <w:bCs/>
          <w:color w:val="888888"/>
          <w:spacing w:val="300"/>
          <w:sz w:val="19"/>
          <w:szCs w:val="19"/>
        </w:rPr>
        <w:t>·</w:t>
      </w:r>
    </w:p>
    <w:p w14:paraId="6144A4E0" w14:textId="7334A5D5" w:rsidR="00F9248A" w:rsidRDefault="00000000">
      <w:pPr>
        <w:spacing w:after="100"/>
      </w:pPr>
      <w:r>
        <w:rPr>
          <w:b/>
          <w:bCs/>
          <w:color w:val="888888"/>
          <w:spacing w:val="300"/>
          <w:sz w:val="19"/>
          <w:szCs w:val="19"/>
        </w:rPr>
        <w:t>(DREAMPLUG</w:t>
      </w:r>
      <w:r w:rsidR="008D0C30">
        <w:rPr>
          <w:b/>
          <w:bCs/>
          <w:color w:val="888888"/>
          <w:spacing w:val="300"/>
          <w:sz w:val="19"/>
          <w:szCs w:val="19"/>
        </w:rPr>
        <w:tab/>
      </w:r>
      <w:r>
        <w:rPr>
          <w:b/>
          <w:bCs/>
          <w:color w:val="888888"/>
          <w:spacing w:val="300"/>
          <w:sz w:val="19"/>
          <w:szCs w:val="19"/>
        </w:rPr>
        <w:t>TECHNOLOGIES)</w:t>
      </w:r>
    </w:p>
    <w:p w14:paraId="21761552" w14:textId="77777777" w:rsidR="00F9248A" w:rsidRDefault="00000000">
      <w:r>
        <w:rPr>
          <w:b/>
          <w:bCs/>
          <w:color w:val="111111"/>
          <w:sz w:val="116"/>
          <w:szCs w:val="116"/>
        </w:rPr>
        <w:t>CRED'S</w:t>
      </w:r>
    </w:p>
    <w:p w14:paraId="4A1CAC80" w14:textId="77777777" w:rsidR="00F9248A" w:rsidRDefault="00000000">
      <w:r>
        <w:rPr>
          <w:b/>
          <w:bCs/>
          <w:color w:val="007A6E"/>
          <w:sz w:val="116"/>
          <w:szCs w:val="116"/>
        </w:rPr>
        <w:t>₹865 Cr</w:t>
      </w:r>
    </w:p>
    <w:p w14:paraId="49128FCE" w14:textId="77777777" w:rsidR="00F9248A" w:rsidRDefault="00000000">
      <w:pPr>
        <w:spacing w:after="80"/>
      </w:pPr>
      <w:r>
        <w:rPr>
          <w:b/>
          <w:bCs/>
          <w:color w:val="007A6E"/>
          <w:sz w:val="116"/>
          <w:szCs w:val="116"/>
        </w:rPr>
        <w:t>PROBLEM</w:t>
      </w:r>
    </w:p>
    <w:p w14:paraId="68239B7D" w14:textId="77777777" w:rsidR="00F9248A" w:rsidRDefault="00000000">
      <w:r>
        <w:rPr>
          <w:color w:val="555555"/>
          <w:sz w:val="28"/>
          <w:szCs w:val="28"/>
        </w:rPr>
        <w:t>India's most engaged fintech user base — and one of its most structurally under-monetized</w:t>
      </w:r>
    </w:p>
    <w:p w14:paraId="3910F974" w14:textId="77777777" w:rsidR="00F9248A" w:rsidRDefault="00F9248A">
      <w:pPr>
        <w:spacing w:before="380"/>
      </w:pPr>
    </w:p>
    <w:p w14:paraId="5B3EB852" w14:textId="77777777" w:rsidR="00F9248A" w:rsidRDefault="00F9248A">
      <w:pPr>
        <w:pBdr>
          <w:bottom w:val="single" w:sz="2" w:space="1" w:color="DDDDDD"/>
        </w:pBdr>
        <w:spacing w:before="60" w:after="60"/>
      </w:pPr>
    </w:p>
    <w:p w14:paraId="1032122F" w14:textId="77777777" w:rsidR="00F9248A" w:rsidRDefault="00F9248A">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6960"/>
      </w:tblGrid>
      <w:tr w:rsidR="00F9248A" w14:paraId="062A3AEE" w14:textId="77777777">
        <w:tblPrEx>
          <w:tblCellMar>
            <w:top w:w="0" w:type="dxa"/>
            <w:bottom w:w="0" w:type="dxa"/>
          </w:tblCellMar>
        </w:tblPrEx>
        <w:tc>
          <w:tcPr>
            <w:tcW w:w="2400" w:type="dxa"/>
            <w:tcBorders>
              <w:bottom w:val="single" w:sz="1" w:space="0" w:color="DDDDDD"/>
            </w:tcBorders>
            <w:tcMar>
              <w:top w:w="100" w:type="dxa"/>
              <w:left w:w="0" w:type="dxa"/>
              <w:bottom w:w="100" w:type="dxa"/>
              <w:right w:w="200" w:type="dxa"/>
            </w:tcMar>
          </w:tcPr>
          <w:p w14:paraId="6BF05A3B" w14:textId="77777777" w:rsidR="00F9248A" w:rsidRDefault="00000000">
            <w:r>
              <w:rPr>
                <w:b/>
                <w:bCs/>
                <w:color w:val="888888"/>
                <w:spacing w:val="80"/>
                <w:sz w:val="17"/>
                <w:szCs w:val="17"/>
              </w:rPr>
              <w:t>DOCUMENT TYPE</w:t>
            </w:r>
          </w:p>
        </w:tc>
        <w:tc>
          <w:tcPr>
            <w:tcW w:w="6960" w:type="dxa"/>
            <w:tcBorders>
              <w:bottom w:val="single" w:sz="1" w:space="0" w:color="DDDDDD"/>
            </w:tcBorders>
            <w:tcMar>
              <w:top w:w="100" w:type="dxa"/>
              <w:left w:w="0" w:type="dxa"/>
              <w:bottom w:w="100" w:type="dxa"/>
              <w:right w:w="0" w:type="dxa"/>
            </w:tcMar>
          </w:tcPr>
          <w:p w14:paraId="7EC27C5F" w14:textId="77777777" w:rsidR="00F9248A" w:rsidRDefault="00000000">
            <w:r>
              <w:rPr>
                <w:color w:val="111111"/>
              </w:rPr>
              <w:t>Strategic Monetization Case Study — Consulting Grade</w:t>
            </w:r>
          </w:p>
        </w:tc>
      </w:tr>
      <w:tr w:rsidR="00F9248A" w14:paraId="101163C2" w14:textId="77777777">
        <w:tblPrEx>
          <w:tblCellMar>
            <w:top w:w="0" w:type="dxa"/>
            <w:bottom w:w="0" w:type="dxa"/>
          </w:tblCellMar>
        </w:tblPrEx>
        <w:tc>
          <w:tcPr>
            <w:tcW w:w="2400" w:type="dxa"/>
            <w:tcBorders>
              <w:bottom w:val="single" w:sz="1" w:space="0" w:color="DDDDDD"/>
            </w:tcBorders>
            <w:tcMar>
              <w:top w:w="100" w:type="dxa"/>
              <w:left w:w="0" w:type="dxa"/>
              <w:bottom w:w="100" w:type="dxa"/>
              <w:right w:w="200" w:type="dxa"/>
            </w:tcMar>
          </w:tcPr>
          <w:p w14:paraId="1D237E07" w14:textId="77777777" w:rsidR="00F9248A" w:rsidRDefault="00000000">
            <w:r>
              <w:rPr>
                <w:b/>
                <w:bCs/>
                <w:color w:val="888888"/>
                <w:spacing w:val="80"/>
                <w:sz w:val="17"/>
                <w:szCs w:val="17"/>
              </w:rPr>
              <w:t>SCOPE</w:t>
            </w:r>
          </w:p>
        </w:tc>
        <w:tc>
          <w:tcPr>
            <w:tcW w:w="6960" w:type="dxa"/>
            <w:tcBorders>
              <w:bottom w:val="single" w:sz="1" w:space="0" w:color="DDDDDD"/>
            </w:tcBorders>
            <w:tcMar>
              <w:top w:w="100" w:type="dxa"/>
              <w:left w:w="0" w:type="dxa"/>
              <w:bottom w:w="100" w:type="dxa"/>
              <w:right w:w="0" w:type="dxa"/>
            </w:tcMar>
          </w:tcPr>
          <w:p w14:paraId="75A6838B" w14:textId="77777777" w:rsidR="00F9248A" w:rsidRDefault="00000000">
            <w:r>
              <w:rPr>
                <w:color w:val="111111"/>
              </w:rPr>
              <w:t>Engagement-to-Revenue System Redesign</w:t>
            </w:r>
          </w:p>
        </w:tc>
      </w:tr>
      <w:tr w:rsidR="00F9248A" w14:paraId="7BDE627E" w14:textId="77777777">
        <w:tblPrEx>
          <w:tblCellMar>
            <w:top w:w="0" w:type="dxa"/>
            <w:bottom w:w="0" w:type="dxa"/>
          </w:tblCellMar>
        </w:tblPrEx>
        <w:tc>
          <w:tcPr>
            <w:tcW w:w="2400" w:type="dxa"/>
            <w:tcBorders>
              <w:bottom w:val="single" w:sz="1" w:space="0" w:color="DDDDDD"/>
            </w:tcBorders>
            <w:tcMar>
              <w:top w:w="100" w:type="dxa"/>
              <w:left w:w="0" w:type="dxa"/>
              <w:bottom w:w="100" w:type="dxa"/>
              <w:right w:w="200" w:type="dxa"/>
            </w:tcMar>
          </w:tcPr>
          <w:p w14:paraId="062CD17D" w14:textId="77777777" w:rsidR="00F9248A" w:rsidRDefault="00000000">
            <w:r>
              <w:rPr>
                <w:b/>
                <w:bCs/>
                <w:color w:val="888888"/>
                <w:spacing w:val="80"/>
                <w:sz w:val="17"/>
                <w:szCs w:val="17"/>
              </w:rPr>
              <w:t>CORE THESIS</w:t>
            </w:r>
          </w:p>
        </w:tc>
        <w:tc>
          <w:tcPr>
            <w:tcW w:w="6960" w:type="dxa"/>
            <w:tcBorders>
              <w:bottom w:val="single" w:sz="1" w:space="0" w:color="DDDDDD"/>
            </w:tcBorders>
            <w:tcMar>
              <w:top w:w="100" w:type="dxa"/>
              <w:left w:w="0" w:type="dxa"/>
              <w:bottom w:w="100" w:type="dxa"/>
              <w:right w:w="0" w:type="dxa"/>
            </w:tcMar>
          </w:tcPr>
          <w:p w14:paraId="006D4AE2" w14:textId="77777777" w:rsidR="00F9248A" w:rsidRDefault="00000000">
            <w:r>
              <w:rPr>
                <w:color w:val="111111"/>
              </w:rPr>
              <w:t>CRED's engagement system and monetization system are structurally disconnected — and the gap is compounding</w:t>
            </w:r>
          </w:p>
        </w:tc>
      </w:tr>
      <w:tr w:rsidR="00F9248A" w14:paraId="50905B58" w14:textId="77777777">
        <w:tblPrEx>
          <w:tblCellMar>
            <w:top w:w="0" w:type="dxa"/>
            <w:bottom w:w="0" w:type="dxa"/>
          </w:tblCellMar>
        </w:tblPrEx>
        <w:tc>
          <w:tcPr>
            <w:tcW w:w="2400" w:type="dxa"/>
            <w:tcBorders>
              <w:bottom w:val="single" w:sz="1" w:space="0" w:color="DDDDDD"/>
            </w:tcBorders>
            <w:tcMar>
              <w:top w:w="100" w:type="dxa"/>
              <w:left w:w="0" w:type="dxa"/>
              <w:bottom w:w="100" w:type="dxa"/>
              <w:right w:w="200" w:type="dxa"/>
            </w:tcMar>
          </w:tcPr>
          <w:p w14:paraId="1D7563ED" w14:textId="77777777" w:rsidR="00F9248A" w:rsidRDefault="00000000">
            <w:r>
              <w:rPr>
                <w:b/>
                <w:bCs/>
                <w:color w:val="888888"/>
                <w:spacing w:val="80"/>
                <w:sz w:val="17"/>
                <w:szCs w:val="17"/>
              </w:rPr>
              <w:t>ESTIMATED OPPORTUNITY</w:t>
            </w:r>
          </w:p>
        </w:tc>
        <w:tc>
          <w:tcPr>
            <w:tcW w:w="6960" w:type="dxa"/>
            <w:tcBorders>
              <w:bottom w:val="single" w:sz="1" w:space="0" w:color="DDDDDD"/>
            </w:tcBorders>
            <w:tcMar>
              <w:top w:w="100" w:type="dxa"/>
              <w:left w:w="0" w:type="dxa"/>
              <w:bottom w:w="100" w:type="dxa"/>
              <w:right w:w="0" w:type="dxa"/>
            </w:tcMar>
          </w:tcPr>
          <w:p w14:paraId="3B874C8C" w14:textId="77777777" w:rsidR="00F9248A" w:rsidRDefault="00000000">
            <w:r>
              <w:rPr>
                <w:color w:val="111111"/>
              </w:rPr>
              <w:t>₹265 Cr – ₹865 Cr Additional ARR from Existing Users</w:t>
            </w:r>
          </w:p>
        </w:tc>
      </w:tr>
    </w:tbl>
    <w:p w14:paraId="4D0D198E" w14:textId="77777777" w:rsidR="00F9248A" w:rsidRDefault="00F9248A">
      <w:pPr>
        <w:spacing w:before="3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9248A" w14:paraId="5C9EFD4E" w14:textId="77777777">
        <w:tblPrEx>
          <w:tblCellMar>
            <w:top w:w="0" w:type="dxa"/>
            <w:bottom w:w="0" w:type="dxa"/>
          </w:tblCellMar>
        </w:tblPrEx>
        <w:tc>
          <w:tcPr>
            <w:tcW w:w="9360" w:type="dxa"/>
            <w:shd w:val="clear" w:color="auto" w:fill="007A6E"/>
            <w:tcMar>
              <w:top w:w="140" w:type="dxa"/>
              <w:left w:w="300" w:type="dxa"/>
              <w:bottom w:w="140" w:type="dxa"/>
              <w:right w:w="300" w:type="dxa"/>
            </w:tcMar>
          </w:tcPr>
          <w:p w14:paraId="0A9A4D95" w14:textId="77777777" w:rsidR="00F9248A" w:rsidRDefault="00000000">
            <w:pPr>
              <w:jc w:val="center"/>
            </w:pPr>
            <w:r>
              <w:rPr>
                <w:b/>
                <w:bCs/>
                <w:color w:val="FFFFFF"/>
                <w:spacing w:val="140"/>
                <w:sz w:val="17"/>
                <w:szCs w:val="17"/>
              </w:rPr>
              <w:t>CONSULTING-GRADE  ·  PORTFOLIO ASSET  ·  CONFIDENTIAL</w:t>
            </w:r>
          </w:p>
        </w:tc>
      </w:tr>
    </w:tbl>
    <w:p w14:paraId="5A6891AB" w14:textId="77777777" w:rsidR="00F9248A" w:rsidRDefault="00000000">
      <w:r>
        <w:br w:type="page"/>
      </w:r>
    </w:p>
    <w:p w14:paraId="78A94261" w14:textId="77777777" w:rsidR="00F9248A" w:rsidRDefault="00000000">
      <w:pPr>
        <w:spacing w:before="360" w:after="80"/>
      </w:pPr>
      <w:r>
        <w:rPr>
          <w:b/>
          <w:bCs/>
          <w:color w:val="007A6E"/>
          <w:spacing w:val="180"/>
          <w:sz w:val="17"/>
          <w:szCs w:val="17"/>
        </w:rPr>
        <w:lastRenderedPageBreak/>
        <w:t>OPENING</w:t>
      </w:r>
    </w:p>
    <w:p w14:paraId="10648DB6" w14:textId="77777777" w:rsidR="00F9248A" w:rsidRDefault="00000000">
      <w:pPr>
        <w:spacing w:before="60" w:after="180"/>
      </w:pPr>
      <w:r>
        <w:rPr>
          <w:b/>
          <w:bCs/>
          <w:color w:val="0A0A0A"/>
          <w:sz w:val="52"/>
          <w:szCs w:val="52"/>
        </w:rPr>
        <w:t>The System Is Optimized for Habit Formation. Not Revenue.</w:t>
      </w:r>
    </w:p>
    <w:p w14:paraId="7C9D2600" w14:textId="77777777" w:rsidR="00F9248A" w:rsidRDefault="00000000">
      <w:pPr>
        <w:spacing w:before="80" w:after="80"/>
      </w:pPr>
      <w:r>
        <w:t>CRED has built something genuinely difficult: a highly engaged, premium fintech user base in a market that rewards volume over value. 13 million monthly active users. ~20 app sessions per month. 88% monthly retention. These are not ordinary numbers — they are metrics that rival the best consumer platforms globally.</w:t>
      </w:r>
    </w:p>
    <w:p w14:paraId="33C7D89E" w14:textId="77777777" w:rsidR="00F9248A" w:rsidRDefault="00F9248A">
      <w:pPr>
        <w:spacing w:before="80"/>
      </w:pPr>
    </w:p>
    <w:p w14:paraId="14CE00BD" w14:textId="77777777" w:rsidR="00F9248A" w:rsidRDefault="00000000">
      <w:pPr>
        <w:spacing w:before="80" w:after="80"/>
      </w:pPr>
      <w:r>
        <w:t>None of that is the problem.</w:t>
      </w:r>
    </w:p>
    <w:p w14:paraId="3DFF163F" w14:textId="77777777" w:rsidR="00F9248A" w:rsidRDefault="00F9248A">
      <w:pPr>
        <w:spacing w:before="80"/>
      </w:pPr>
    </w:p>
    <w:p w14:paraId="7E054294" w14:textId="77777777" w:rsidR="00F9248A" w:rsidRDefault="00000000">
      <w:pPr>
        <w:spacing w:before="80" w:after="80"/>
      </w:pPr>
      <w:r>
        <w:t>The problem is that CRED has engineered one of the strongest engagement systems in fintech — and attached it to one of the weakest monetization engines. Users pay their bills. They earn their rewards. They return next month. ARPU stays anchored at ~₹2,000 — from a user base that sits in the top 1% of Indian income earners.</w:t>
      </w:r>
    </w:p>
    <w:p w14:paraId="2AD823D9" w14:textId="77777777" w:rsidR="00F9248A" w:rsidRDefault="00F9248A">
      <w:pPr>
        <w:spacing w:before="80"/>
      </w:pPr>
    </w:p>
    <w:p w14:paraId="40E40DE1" w14:textId="77777777" w:rsidR="00F9248A" w:rsidRDefault="00000000">
      <w:pPr>
        <w:spacing w:before="80" w:after="80"/>
      </w:pPr>
      <w:r>
        <w:t>This is not a product problem. This is not a demand problem. This is a structural architecture problem: the system converts engagement into habit reliably, and then stops. No next action triggered. No conversion layer. No system logic connecting what users do to what CRED earns.</w:t>
      </w:r>
    </w:p>
    <w:p w14:paraId="07F5469C" w14:textId="77777777" w:rsidR="00F9248A" w:rsidRDefault="00F9248A">
      <w:pPr>
        <w:spacing w:before="1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9248A" w14:paraId="615372DF" w14:textId="77777777">
        <w:tblPrEx>
          <w:tblCellMar>
            <w:top w:w="0" w:type="dxa"/>
            <w:bottom w:w="0" w:type="dxa"/>
          </w:tblCellMar>
        </w:tblPrEx>
        <w:tc>
          <w:tcPr>
            <w:tcW w:w="9360" w:type="dxa"/>
            <w:tcBorders>
              <w:left w:val="single" w:sz="24" w:space="0" w:color="007A6E"/>
            </w:tcBorders>
            <w:shd w:val="clear" w:color="auto" w:fill="111111"/>
            <w:tcMar>
              <w:top w:w="220" w:type="dxa"/>
              <w:left w:w="400" w:type="dxa"/>
              <w:bottom w:w="220" w:type="dxa"/>
              <w:right w:w="280" w:type="dxa"/>
            </w:tcMar>
          </w:tcPr>
          <w:p w14:paraId="67A2884A" w14:textId="77777777" w:rsidR="00F9248A" w:rsidRDefault="00000000">
            <w:r>
              <w:rPr>
                <w:b/>
                <w:bCs/>
                <w:i/>
                <w:iCs/>
                <w:color w:val="FFFFFF"/>
                <w:sz w:val="25"/>
                <w:szCs w:val="25"/>
              </w:rPr>
              <w:t>CRED's engagement is engineered. Its monetization is accidental. That is not a minor optimization gap — it is the entire growth problem.</w:t>
            </w:r>
          </w:p>
        </w:tc>
      </w:tr>
    </w:tbl>
    <w:p w14:paraId="596AB5BE" w14:textId="77777777" w:rsidR="00F9248A" w:rsidRDefault="00F9248A">
      <w:pPr>
        <w:spacing w:before="240"/>
      </w:pPr>
    </w:p>
    <w:p w14:paraId="6DCB26F7" w14:textId="77777777" w:rsidR="00F9248A" w:rsidRDefault="00000000">
      <w:r>
        <w:br w:type="page"/>
      </w:r>
    </w:p>
    <w:p w14:paraId="25A2D5FB" w14:textId="77777777" w:rsidR="00F9248A" w:rsidRDefault="00000000">
      <w:pPr>
        <w:spacing w:before="360" w:after="80"/>
      </w:pPr>
      <w:r>
        <w:rPr>
          <w:b/>
          <w:bCs/>
          <w:color w:val="007A6E"/>
          <w:spacing w:val="180"/>
          <w:sz w:val="17"/>
          <w:szCs w:val="17"/>
        </w:rPr>
        <w:lastRenderedPageBreak/>
        <w:t>02 / CONTEXT</w:t>
      </w:r>
    </w:p>
    <w:p w14:paraId="72F7C896" w14:textId="77777777" w:rsidR="00F9248A" w:rsidRDefault="00000000">
      <w:pPr>
        <w:spacing w:before="60" w:after="180"/>
      </w:pPr>
      <w:r>
        <w:rPr>
          <w:b/>
          <w:bCs/>
          <w:color w:val="0A0A0A"/>
          <w:sz w:val="52"/>
          <w:szCs w:val="52"/>
        </w:rPr>
        <w:t>A Premium User Base. A Modest Revenue Capture.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72"/>
        <w:gridCol w:w="1872"/>
        <w:gridCol w:w="1872"/>
        <w:gridCol w:w="1872"/>
        <w:gridCol w:w="1872"/>
      </w:tblGrid>
      <w:tr w:rsidR="00F9248A" w14:paraId="62B62EDC" w14:textId="77777777">
        <w:tblPrEx>
          <w:tblCellMar>
            <w:top w:w="0" w:type="dxa"/>
            <w:bottom w:w="0" w:type="dxa"/>
          </w:tblCellMar>
        </w:tblPrEx>
        <w:tc>
          <w:tcPr>
            <w:tcW w:w="1872" w:type="dxa"/>
            <w:tcBorders>
              <w:right w:val="single" w:sz="2" w:space="0" w:color="DDDDDD"/>
            </w:tcBorders>
            <w:shd w:val="clear" w:color="auto" w:fill="F5F5F5"/>
            <w:tcMar>
              <w:top w:w="200" w:type="dxa"/>
              <w:left w:w="160" w:type="dxa"/>
              <w:bottom w:w="200" w:type="dxa"/>
              <w:right w:w="160" w:type="dxa"/>
            </w:tcMar>
          </w:tcPr>
          <w:p w14:paraId="26D70A7F" w14:textId="77777777" w:rsidR="00F9248A" w:rsidRDefault="00000000">
            <w:pPr>
              <w:spacing w:after="60"/>
              <w:jc w:val="center"/>
            </w:pPr>
            <w:r>
              <w:rPr>
                <w:b/>
                <w:bCs/>
                <w:color w:val="111111"/>
                <w:sz w:val="40"/>
                <w:szCs w:val="40"/>
              </w:rPr>
              <w:t>₹2,735 Cr</w:t>
            </w:r>
          </w:p>
          <w:p w14:paraId="22BA621C" w14:textId="77777777" w:rsidR="00F9248A" w:rsidRDefault="00000000">
            <w:pPr>
              <w:jc w:val="center"/>
            </w:pPr>
            <w:r>
              <w:rPr>
                <w:color w:val="555555"/>
                <w:sz w:val="16"/>
                <w:szCs w:val="16"/>
              </w:rPr>
              <w:t>FY25 Revenue</w:t>
            </w:r>
          </w:p>
        </w:tc>
        <w:tc>
          <w:tcPr>
            <w:tcW w:w="1872" w:type="dxa"/>
            <w:tcBorders>
              <w:right w:val="single" w:sz="2" w:space="0" w:color="DDDDDD"/>
            </w:tcBorders>
            <w:shd w:val="clear" w:color="auto" w:fill="F5F5F5"/>
            <w:tcMar>
              <w:top w:w="200" w:type="dxa"/>
              <w:left w:w="160" w:type="dxa"/>
              <w:bottom w:w="200" w:type="dxa"/>
              <w:right w:w="160" w:type="dxa"/>
            </w:tcMar>
          </w:tcPr>
          <w:p w14:paraId="635299F2" w14:textId="77777777" w:rsidR="00F9248A" w:rsidRDefault="00000000">
            <w:pPr>
              <w:spacing w:after="60"/>
              <w:jc w:val="center"/>
            </w:pPr>
            <w:r>
              <w:rPr>
                <w:b/>
                <w:bCs/>
                <w:color w:val="111111"/>
                <w:sz w:val="40"/>
                <w:szCs w:val="40"/>
              </w:rPr>
              <w:t>13M</w:t>
            </w:r>
          </w:p>
          <w:p w14:paraId="72E8C795" w14:textId="77777777" w:rsidR="00F9248A" w:rsidRDefault="00000000">
            <w:pPr>
              <w:jc w:val="center"/>
            </w:pPr>
            <w:r>
              <w:rPr>
                <w:color w:val="555555"/>
                <w:sz w:val="16"/>
                <w:szCs w:val="16"/>
              </w:rPr>
              <w:t>Monthly Active Users</w:t>
            </w:r>
          </w:p>
        </w:tc>
        <w:tc>
          <w:tcPr>
            <w:tcW w:w="1872" w:type="dxa"/>
            <w:tcBorders>
              <w:right w:val="single" w:sz="2" w:space="0" w:color="DDDDDD"/>
            </w:tcBorders>
            <w:shd w:val="clear" w:color="auto" w:fill="EAF4F3"/>
            <w:tcMar>
              <w:top w:w="200" w:type="dxa"/>
              <w:left w:w="160" w:type="dxa"/>
              <w:bottom w:w="200" w:type="dxa"/>
              <w:right w:w="160" w:type="dxa"/>
            </w:tcMar>
          </w:tcPr>
          <w:p w14:paraId="673D83D5" w14:textId="77777777" w:rsidR="00F9248A" w:rsidRDefault="00000000">
            <w:pPr>
              <w:spacing w:after="60"/>
              <w:jc w:val="center"/>
            </w:pPr>
            <w:r>
              <w:rPr>
                <w:b/>
                <w:bCs/>
                <w:color w:val="007A6E"/>
                <w:sz w:val="40"/>
                <w:szCs w:val="40"/>
              </w:rPr>
              <w:t>~₹2,000</w:t>
            </w:r>
          </w:p>
          <w:p w14:paraId="3DF76104" w14:textId="77777777" w:rsidR="00F9248A" w:rsidRDefault="00000000">
            <w:pPr>
              <w:jc w:val="center"/>
            </w:pPr>
            <w:r>
              <w:rPr>
                <w:color w:val="555555"/>
                <w:sz w:val="16"/>
                <w:szCs w:val="16"/>
              </w:rPr>
              <w:t>ARPU (Annual)</w:t>
            </w:r>
          </w:p>
        </w:tc>
        <w:tc>
          <w:tcPr>
            <w:tcW w:w="1872" w:type="dxa"/>
            <w:tcBorders>
              <w:right w:val="single" w:sz="2" w:space="0" w:color="DDDDDD"/>
            </w:tcBorders>
            <w:shd w:val="clear" w:color="auto" w:fill="F5F5F5"/>
            <w:tcMar>
              <w:top w:w="200" w:type="dxa"/>
              <w:left w:w="160" w:type="dxa"/>
              <w:bottom w:w="200" w:type="dxa"/>
              <w:right w:w="160" w:type="dxa"/>
            </w:tcMar>
          </w:tcPr>
          <w:p w14:paraId="565199BD" w14:textId="77777777" w:rsidR="00F9248A" w:rsidRDefault="00000000">
            <w:pPr>
              <w:spacing w:after="60"/>
              <w:jc w:val="center"/>
            </w:pPr>
            <w:r>
              <w:rPr>
                <w:b/>
                <w:bCs/>
                <w:color w:val="111111"/>
                <w:sz w:val="40"/>
                <w:szCs w:val="40"/>
              </w:rPr>
              <w:t>88%</w:t>
            </w:r>
          </w:p>
          <w:p w14:paraId="1383C5D9" w14:textId="77777777" w:rsidR="00F9248A" w:rsidRDefault="00000000">
            <w:pPr>
              <w:jc w:val="center"/>
            </w:pPr>
            <w:r>
              <w:rPr>
                <w:color w:val="555555"/>
                <w:sz w:val="16"/>
                <w:szCs w:val="16"/>
              </w:rPr>
              <w:t>Monthly Retention</w:t>
            </w:r>
          </w:p>
        </w:tc>
        <w:tc>
          <w:tcPr>
            <w:tcW w:w="1872" w:type="dxa"/>
            <w:shd w:val="clear" w:color="auto" w:fill="F5F5F5"/>
            <w:tcMar>
              <w:top w:w="200" w:type="dxa"/>
              <w:left w:w="160" w:type="dxa"/>
              <w:bottom w:w="200" w:type="dxa"/>
              <w:right w:w="160" w:type="dxa"/>
            </w:tcMar>
          </w:tcPr>
          <w:p w14:paraId="4149D5AC" w14:textId="77777777" w:rsidR="00F9248A" w:rsidRDefault="00000000">
            <w:pPr>
              <w:spacing w:after="60"/>
              <w:jc w:val="center"/>
            </w:pPr>
            <w:r>
              <w:rPr>
                <w:b/>
                <w:bCs/>
                <w:color w:val="111111"/>
                <w:sz w:val="40"/>
                <w:szCs w:val="40"/>
              </w:rPr>
              <w:t>~20</w:t>
            </w:r>
          </w:p>
          <w:p w14:paraId="4896F808" w14:textId="77777777" w:rsidR="00F9248A" w:rsidRDefault="00000000">
            <w:pPr>
              <w:jc w:val="center"/>
            </w:pPr>
            <w:r>
              <w:rPr>
                <w:color w:val="555555"/>
                <w:sz w:val="16"/>
                <w:szCs w:val="16"/>
              </w:rPr>
              <w:t>App Sessions / Month</w:t>
            </w:r>
          </w:p>
        </w:tc>
      </w:tr>
    </w:tbl>
    <w:p w14:paraId="0230939B" w14:textId="77777777" w:rsidR="00F9248A" w:rsidRDefault="00F9248A">
      <w:pPr>
        <w:spacing w:before="140"/>
      </w:pPr>
    </w:p>
    <w:p w14:paraId="1C9B4115" w14:textId="77777777" w:rsidR="00F9248A" w:rsidRDefault="00000000">
      <w:pPr>
        <w:spacing w:before="80" w:after="80"/>
      </w:pPr>
      <w:r>
        <w:t>CRED's acquisition model is precision-engineered: CIBIL ≥750 as entry threshold, targeting ~25–30 million affluent credit-card holders in India. This is not a broad consumer app. It is a premium platform serving users with high income, strong credit discipline, and measurable spending power.</w:t>
      </w:r>
    </w:p>
    <w:p w14:paraId="0B1C76B6" w14:textId="77777777" w:rsidR="00F9248A" w:rsidRDefault="00F9248A">
      <w:pPr>
        <w:spacing w:before="80"/>
      </w:pPr>
    </w:p>
    <w:p w14:paraId="5E02D173" w14:textId="77777777" w:rsidR="00F9248A" w:rsidRDefault="00000000">
      <w:pPr>
        <w:spacing w:before="80" w:after="80"/>
      </w:pPr>
      <w:r>
        <w:t>FY25 revenue grew 16% YoY to ₹2,735 Cr. Transacting users grew ~34% in FY24 while CAC dropped ~40%. On surface metrics, this reads as healthy PLG execution.</w:t>
      </w:r>
    </w:p>
    <w:p w14:paraId="2D29FE7F" w14:textId="77777777" w:rsidR="00F9248A" w:rsidRDefault="00F9248A">
      <w:pPr>
        <w:spacing w:before="80"/>
      </w:pPr>
    </w:p>
    <w:p w14:paraId="3F15202F" w14:textId="77777777" w:rsidR="00F9248A" w:rsidRDefault="00000000">
      <w:pPr>
        <w:spacing w:before="80" w:after="80"/>
      </w:pPr>
      <w:r>
        <w:t>Look one layer deeper: 55% of active users remain on a single product. Only 12% use the financial dashboard. ARPU of ₹2,000 — from users capable of spending multiples of that annually — is not a monetization success. It is a monetization baseline masquerading as one.</w:t>
      </w:r>
    </w:p>
    <w:p w14:paraId="288080F2" w14:textId="77777777" w:rsidR="00F9248A" w:rsidRDefault="00F9248A">
      <w:pPr>
        <w:spacing w:before="1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9248A" w14:paraId="5E98096C" w14:textId="77777777">
        <w:tblPrEx>
          <w:tblCellMar>
            <w:top w:w="0" w:type="dxa"/>
            <w:bottom w:w="0" w:type="dxa"/>
          </w:tblCellMar>
        </w:tblPrEx>
        <w:tc>
          <w:tcPr>
            <w:tcW w:w="9360" w:type="dxa"/>
            <w:tcBorders>
              <w:top w:val="single" w:sz="2" w:space="0" w:color="CCE9E6"/>
              <w:left w:val="single" w:sz="20" w:space="0" w:color="007A6E"/>
              <w:bottom w:val="single" w:sz="2" w:space="0" w:color="CCE9E6"/>
            </w:tcBorders>
            <w:shd w:val="clear" w:color="auto" w:fill="EAF4F3"/>
            <w:tcMar>
              <w:top w:w="220" w:type="dxa"/>
              <w:left w:w="360" w:type="dxa"/>
              <w:bottom w:w="220" w:type="dxa"/>
              <w:right w:w="320" w:type="dxa"/>
            </w:tcMar>
          </w:tcPr>
          <w:p w14:paraId="64DF7D88" w14:textId="77777777" w:rsidR="00F9248A" w:rsidRDefault="00000000">
            <w:pPr>
              <w:spacing w:after="80"/>
            </w:pPr>
            <w:r>
              <w:rPr>
                <w:b/>
                <w:bCs/>
                <w:color w:val="007A6E"/>
                <w:spacing w:val="100"/>
                <w:sz w:val="16"/>
                <w:szCs w:val="16"/>
              </w:rPr>
              <w:t>◈  NON-OBVIOUS INSIGHT #1: THE CIBIL GATE CREATES A MONETIZATION PARADOX</w:t>
            </w:r>
          </w:p>
          <w:p w14:paraId="6CDFBE65" w14:textId="77777777" w:rsidR="00F9248A" w:rsidRDefault="00000000">
            <w:r>
              <w:rPr>
                <w:color w:val="111111"/>
                <w:sz w:val="22"/>
                <w:szCs w:val="22"/>
              </w:rPr>
              <w:t>CRED's entry filter — designed to attract India's most creditworthy users — simultaneously creates its hardest monetization challenge. Users who qualify are financially disciplined by definition: they do not need unsolicited credit nudges, they are suspicious of generic financial product pushes, and they have optionality. Monetizing them requires earning trust before triggering transactions. CRED's current system skips this step entirely — it goes from habit to nothing, bypassing the trust-to-transaction bridge that premium monetization requires.</w:t>
            </w:r>
          </w:p>
        </w:tc>
      </w:tr>
    </w:tbl>
    <w:p w14:paraId="09AE6142" w14:textId="77777777" w:rsidR="00F9248A" w:rsidRDefault="00F9248A">
      <w:pPr>
        <w:spacing w:before="240"/>
      </w:pPr>
    </w:p>
    <w:p w14:paraId="01D5DF79" w14:textId="77777777" w:rsidR="00F9248A" w:rsidRDefault="00000000">
      <w:r>
        <w:br w:type="page"/>
      </w:r>
    </w:p>
    <w:p w14:paraId="04EAC4CE" w14:textId="77777777" w:rsidR="00F9248A" w:rsidRDefault="00000000">
      <w:pPr>
        <w:spacing w:before="360" w:after="80"/>
      </w:pPr>
      <w:r>
        <w:rPr>
          <w:b/>
          <w:bCs/>
          <w:color w:val="007A6E"/>
          <w:spacing w:val="180"/>
          <w:sz w:val="17"/>
          <w:szCs w:val="17"/>
        </w:rPr>
        <w:lastRenderedPageBreak/>
        <w:t>03 / REVENUE SYSTEM DIAGNOSIS</w:t>
      </w:r>
    </w:p>
    <w:p w14:paraId="3D8CCDE2" w14:textId="77777777" w:rsidR="00F9248A" w:rsidRDefault="00000000">
      <w:pPr>
        <w:spacing w:before="60" w:after="180"/>
      </w:pPr>
      <w:r>
        <w:rPr>
          <w:b/>
          <w:bCs/>
          <w:color w:val="0A0A0A"/>
          <w:sz w:val="52"/>
          <w:szCs w:val="52"/>
        </w:rPr>
        <w:t>Where the System Works — And Where It Breaks</w:t>
      </w:r>
    </w:p>
    <w:p w14:paraId="5DC326AA" w14:textId="77777777" w:rsidR="00F9248A" w:rsidRDefault="00000000">
      <w:pPr>
        <w:spacing w:before="80" w:after="80"/>
      </w:pPr>
      <w:r>
        <w:t>A system diagnosis requires first understanding what is working. The map below is not a list of failures — it is a cause-and-effect chain that reveals precisely where value creation stops translating into revenue capture.</w:t>
      </w:r>
    </w:p>
    <w:p w14:paraId="22AF34EE" w14:textId="77777777" w:rsidR="00F9248A" w:rsidRDefault="00F9248A">
      <w:pPr>
        <w:spacing w:before="100"/>
      </w:pPr>
    </w:p>
    <w:p w14:paraId="368E5AE4" w14:textId="77777777" w:rsidR="00F9248A" w:rsidRDefault="00000000">
      <w:pPr>
        <w:spacing w:before="160" w:after="60"/>
      </w:pPr>
      <w:r>
        <w:rPr>
          <w:b/>
          <w:bCs/>
          <w:color w:val="888888"/>
          <w:spacing w:val="100"/>
          <w:sz w:val="17"/>
          <w:szCs w:val="17"/>
        </w:rPr>
        <w:t>FIGURE 01  ·  CRED REVENUE SYSTEM WITH MONETIZATION LEAKS</w:t>
      </w:r>
    </w:p>
    <w:p w14:paraId="45A04809" w14:textId="4EB0AA3D" w:rsidR="00F9248A" w:rsidRDefault="008D0C30" w:rsidP="008D0C30">
      <w:pPr>
        <w:spacing w:before="140"/>
        <w:jc w:val="center"/>
      </w:pPr>
      <w:r>
        <w:rPr>
          <w:noProof/>
        </w:rPr>
        <w:drawing>
          <wp:inline distT="0" distB="0" distL="0" distR="0" wp14:anchorId="6A7FC4F1" wp14:editId="42B34923">
            <wp:extent cx="449580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495800" cy="2247900"/>
                    </a:xfrm>
                    <a:prstGeom prst="rect">
                      <a:avLst/>
                    </a:prstGeom>
                  </pic:spPr>
                </pic:pic>
              </a:graphicData>
            </a:graphic>
          </wp:inline>
        </w:drawing>
      </w:r>
    </w:p>
    <w:p w14:paraId="433E177B" w14:textId="7FFA6E28" w:rsidR="008D0C30" w:rsidRDefault="008D0C30" w:rsidP="008D0C30">
      <w:pPr>
        <w:spacing w:before="140"/>
        <w:jc w:val="center"/>
      </w:pPr>
      <w:r>
        <w:rPr>
          <w:color w:val="6B7280"/>
          <w:sz w:val="18"/>
          <w:szCs w:val="18"/>
        </w:rPr>
        <w:t>Strong acquisition and engagement — three discrete failure points before revenue is captured.</w:t>
      </w:r>
    </w:p>
    <w:p w14:paraId="30F86C1E" w14:textId="77777777" w:rsidR="00F9248A" w:rsidRDefault="00000000">
      <w:pPr>
        <w:spacing w:before="200" w:after="80"/>
      </w:pPr>
      <w:r>
        <w:rPr>
          <w:b/>
          <w:bCs/>
          <w:color w:val="007A6E"/>
          <w:sz w:val="25"/>
          <w:szCs w:val="25"/>
        </w:rPr>
        <w:t>What Works</w:t>
      </w:r>
    </w:p>
    <w:p w14:paraId="4558957D" w14:textId="77777777" w:rsidR="00F9248A" w:rsidRDefault="00000000">
      <w:pPr>
        <w:spacing w:before="80" w:after="80"/>
      </w:pPr>
      <w:r>
        <w:t>Acquisition is precision-engineered. The CIBIL ≥750 gate self-selects for financially disciplined, high-income users — reducing CAC, improving retention, and creating a brand premium that no mass-market competitor can replicate. Onboarding is frictionless. Core engagement — the bill-pay loop, gamified by CRED Coins, streaks, and status tiers — is one of the strongest habit engines in Indian fintech. ~14.4 payments per user per month, 88% retention. These are the numbers of a platform with genuine product-market fit.</w:t>
      </w:r>
    </w:p>
    <w:p w14:paraId="726BA709" w14:textId="77777777" w:rsidR="00F9248A" w:rsidRDefault="00000000">
      <w:pPr>
        <w:spacing w:before="200" w:after="80"/>
      </w:pPr>
      <w:r>
        <w:rPr>
          <w:b/>
          <w:bCs/>
          <w:color w:val="C8280A"/>
          <w:sz w:val="25"/>
          <w:szCs w:val="25"/>
        </w:rPr>
        <w:t>Where It Breaks</w:t>
      </w:r>
    </w:p>
    <w:p w14:paraId="26F4012D" w14:textId="77777777" w:rsidR="00F9248A" w:rsidRDefault="00000000">
      <w:pPr>
        <w:spacing w:before="80" w:after="80"/>
      </w:pPr>
      <w:r>
        <w:t>The break is precise: it occurs at the transition between Core Engagement and Habit Expansion. After a user pays their bill, the system stops guiding them. No next action is triggered. No adjacent value is surfaced. The user exits a completed task with no system-level prompt toward higher-value behavior.</w:t>
      </w:r>
    </w:p>
    <w:p w14:paraId="79DDED64" w14:textId="77777777" w:rsidR="00F9248A" w:rsidRDefault="00F9248A">
      <w:pPr>
        <w:spacing w:before="80"/>
      </w:pPr>
    </w:p>
    <w:p w14:paraId="51E9118F" w14:textId="77777777" w:rsidR="00F9248A" w:rsidRDefault="00000000">
      <w:pPr>
        <w:spacing w:before="80" w:after="80"/>
      </w:pPr>
      <w:r>
        <w:t xml:space="preserve">From that point, expansion is entirely user-initiated. 58% of users never move beyond bill-pay. 52% have no secondary feature adoption. The products exist — loans, UPI, </w:t>
      </w:r>
      <w:proofErr w:type="spellStart"/>
      <w:r>
        <w:t>RentPay</w:t>
      </w:r>
      <w:proofErr w:type="spellEnd"/>
      <w:r>
        <w:t>, insurance, investments — but they exist as a catalogue, not a journey. Discovery is passive. Conversion is accidental. Revenue is capped.</w:t>
      </w:r>
    </w:p>
    <w:p w14:paraId="75537B14" w14:textId="77777777" w:rsidR="00F9248A" w:rsidRDefault="00F9248A">
      <w:pPr>
        <w:spacing w:before="140"/>
      </w:pPr>
    </w:p>
    <w:p w14:paraId="1EA5B032" w14:textId="77777777" w:rsidR="00F9248A" w:rsidRDefault="00000000">
      <w:pPr>
        <w:spacing w:before="160" w:after="60"/>
      </w:pPr>
      <w:r>
        <w:rPr>
          <w:b/>
          <w:bCs/>
          <w:color w:val="888888"/>
          <w:spacing w:val="100"/>
          <w:sz w:val="17"/>
          <w:szCs w:val="17"/>
        </w:rPr>
        <w:t>FIGURE 02  ·  ENGAGEMENT VS. REVENUE OVER THE USER JOURNEY</w:t>
      </w:r>
    </w:p>
    <w:p w14:paraId="04E04BB0" w14:textId="716E3CE0" w:rsidR="00F9248A" w:rsidRDefault="008D0C30" w:rsidP="008D0C30">
      <w:pPr>
        <w:spacing w:before="120"/>
        <w:jc w:val="center"/>
      </w:pPr>
      <w:r>
        <w:rPr>
          <w:noProof/>
        </w:rPr>
        <w:lastRenderedPageBreak/>
        <w:drawing>
          <wp:inline distT="0" distB="0" distL="0" distR="0" wp14:anchorId="2D225DF4" wp14:editId="1A7B27CB">
            <wp:extent cx="4495800" cy="3000375"/>
            <wp:effectExtent l="0" t="0" r="0" b="0"/>
            <wp:docPr id="1293938575" name="Picture 129393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4495800" cy="3000375"/>
                    </a:xfrm>
                    <a:prstGeom prst="rect">
                      <a:avLst/>
                    </a:prstGeom>
                  </pic:spPr>
                </pic:pic>
              </a:graphicData>
            </a:graphic>
          </wp:inline>
        </w:drawing>
      </w:r>
    </w:p>
    <w:p w14:paraId="6D90EFDF" w14:textId="55324B2F" w:rsidR="008D0C30" w:rsidRDefault="008D0C30" w:rsidP="008D0C30">
      <w:pPr>
        <w:spacing w:before="120"/>
        <w:jc w:val="center"/>
        <w:rPr>
          <w:color w:val="6B7280"/>
          <w:sz w:val="18"/>
          <w:szCs w:val="18"/>
        </w:rPr>
      </w:pPr>
      <w:r>
        <w:rPr>
          <w:color w:val="6B7280"/>
          <w:sz w:val="18"/>
          <w:szCs w:val="18"/>
        </w:rPr>
        <w:t>Engagement compounds strongly. Revenue capture remains flat. The gap between the two curves is the monetization opportunity.</w:t>
      </w:r>
    </w:p>
    <w:p w14:paraId="3EC8E3B0" w14:textId="77777777" w:rsidR="008D0C30" w:rsidRDefault="008D0C30" w:rsidP="008D0C30">
      <w:pPr>
        <w:spacing w:before="120"/>
        <w:jc w:val="cente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9248A" w14:paraId="26F08ECB" w14:textId="77777777">
        <w:tblPrEx>
          <w:tblCellMar>
            <w:top w:w="0" w:type="dxa"/>
            <w:bottom w:w="0" w:type="dxa"/>
          </w:tblCellMar>
        </w:tblPrEx>
        <w:tc>
          <w:tcPr>
            <w:tcW w:w="9360" w:type="dxa"/>
            <w:tcBorders>
              <w:left w:val="single" w:sz="24" w:space="0" w:color="007A6E"/>
            </w:tcBorders>
            <w:shd w:val="clear" w:color="auto" w:fill="F5F5F5"/>
            <w:tcMar>
              <w:top w:w="220" w:type="dxa"/>
              <w:left w:w="400" w:type="dxa"/>
              <w:bottom w:w="220" w:type="dxa"/>
              <w:right w:w="280" w:type="dxa"/>
            </w:tcMar>
          </w:tcPr>
          <w:p w14:paraId="2BC45B55" w14:textId="353F7BC4" w:rsidR="00F9248A" w:rsidRDefault="00000000">
            <w:r>
              <w:rPr>
                <w:b/>
                <w:bCs/>
                <w:i/>
                <w:iCs/>
                <w:color w:val="111111"/>
                <w:sz w:val="25"/>
                <w:szCs w:val="25"/>
              </w:rPr>
              <w:t>CRED</w:t>
            </w:r>
            <w:r w:rsidR="008D0C30">
              <w:rPr>
                <w:b/>
                <w:bCs/>
                <w:i/>
                <w:iCs/>
                <w:color w:val="111111"/>
                <w:sz w:val="25"/>
                <w:szCs w:val="25"/>
              </w:rPr>
              <w:t>’</w:t>
            </w:r>
            <w:r>
              <w:rPr>
                <w:b/>
                <w:bCs/>
                <w:i/>
                <w:iCs/>
                <w:color w:val="111111"/>
                <w:sz w:val="25"/>
                <w:szCs w:val="25"/>
              </w:rPr>
              <w:t>s engagement system and monetization system are not connected. Engagement is engineered. Monetization is left to chance. This is a deliberate product choice — and it is costing ₹865 Cr/year.</w:t>
            </w:r>
          </w:p>
        </w:tc>
      </w:tr>
    </w:tbl>
    <w:p w14:paraId="75A2BD16" w14:textId="77777777" w:rsidR="00F9248A" w:rsidRDefault="00F9248A">
      <w:pPr>
        <w:spacing w:before="240"/>
      </w:pPr>
    </w:p>
    <w:p w14:paraId="7F3CEFCC" w14:textId="77777777" w:rsidR="00F9248A" w:rsidRDefault="00000000">
      <w:r>
        <w:br w:type="page"/>
      </w:r>
    </w:p>
    <w:p w14:paraId="5FC85A38" w14:textId="77777777" w:rsidR="00F9248A" w:rsidRDefault="00000000">
      <w:pPr>
        <w:spacing w:before="360" w:after="80"/>
      </w:pPr>
      <w:r>
        <w:rPr>
          <w:b/>
          <w:bCs/>
          <w:color w:val="007A6E"/>
          <w:spacing w:val="180"/>
          <w:sz w:val="17"/>
          <w:szCs w:val="17"/>
        </w:rPr>
        <w:lastRenderedPageBreak/>
        <w:t>04 / REVENUE LEAKS</w:t>
      </w:r>
    </w:p>
    <w:p w14:paraId="243A12F4" w14:textId="77777777" w:rsidR="00F9248A" w:rsidRDefault="00000000">
      <w:pPr>
        <w:spacing w:before="60" w:after="180"/>
      </w:pPr>
      <w:r>
        <w:rPr>
          <w:b/>
          <w:bCs/>
          <w:color w:val="0A0A0A"/>
          <w:sz w:val="52"/>
          <w:szCs w:val="52"/>
        </w:rPr>
        <w:t>Four System Failures. One Compounding Revenue Cap.</w:t>
      </w:r>
    </w:p>
    <w:p w14:paraId="62F5D0BD" w14:textId="77777777" w:rsidR="00F9248A" w:rsidRDefault="00000000">
      <w:pPr>
        <w:spacing w:before="80" w:after="80"/>
      </w:pPr>
      <w:r>
        <w:t>These are not product gaps or feature gaps. They are structural failures in the revenue architecture — each one reducing conversion of engagement into monetization, and together creating an ARPU ceiling that no amount of new user acquisition can break through.</w:t>
      </w:r>
    </w:p>
    <w:p w14:paraId="0B55C20C" w14:textId="77777777" w:rsidR="00F9248A" w:rsidRDefault="00F9248A">
      <w:pPr>
        <w:spacing w:before="1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0"/>
        <w:gridCol w:w="8720"/>
      </w:tblGrid>
      <w:tr w:rsidR="00F9248A" w14:paraId="364CF796" w14:textId="77777777">
        <w:tblPrEx>
          <w:tblCellMar>
            <w:top w:w="0" w:type="dxa"/>
            <w:bottom w:w="0" w:type="dxa"/>
          </w:tblCellMar>
        </w:tblPrEx>
        <w:tc>
          <w:tcPr>
            <w:tcW w:w="640" w:type="dxa"/>
            <w:tcBorders>
              <w:top w:val="single" w:sz="1" w:space="0" w:color="DDDDDD"/>
              <w:left w:val="single" w:sz="1" w:space="0" w:color="DDDDDD"/>
              <w:bottom w:val="single" w:sz="1" w:space="0" w:color="DDDDDD"/>
              <w:right w:val="single" w:sz="1" w:space="0" w:color="DDDDDD"/>
            </w:tcBorders>
            <w:shd w:val="clear" w:color="auto" w:fill="007A6E"/>
            <w:tcMar>
              <w:top w:w="200" w:type="dxa"/>
              <w:left w:w="140" w:type="dxa"/>
              <w:bottom w:w="200" w:type="dxa"/>
              <w:right w:w="140" w:type="dxa"/>
            </w:tcMar>
            <w:vAlign w:val="center"/>
          </w:tcPr>
          <w:p w14:paraId="74020299" w14:textId="77777777" w:rsidR="00F9248A" w:rsidRDefault="00000000">
            <w:pPr>
              <w:jc w:val="center"/>
            </w:pPr>
            <w:r>
              <w:rPr>
                <w:b/>
                <w:bCs/>
                <w:color w:val="FFFFFF"/>
                <w:sz w:val="28"/>
                <w:szCs w:val="28"/>
              </w:rPr>
              <w:t>01</w:t>
            </w:r>
          </w:p>
        </w:tc>
        <w:tc>
          <w:tcPr>
            <w:tcW w:w="8720" w:type="dxa"/>
            <w:tcBorders>
              <w:top w:val="single" w:sz="1" w:space="0" w:color="DDDDDD"/>
              <w:left w:val="single" w:sz="1" w:space="0" w:color="DDDDDD"/>
              <w:bottom w:val="single" w:sz="1" w:space="0" w:color="DDDDDD"/>
              <w:right w:val="single" w:sz="1" w:space="0" w:color="DDDDDD"/>
            </w:tcBorders>
            <w:shd w:val="clear" w:color="auto" w:fill="FFFFFF"/>
            <w:tcMar>
              <w:top w:w="180" w:type="dxa"/>
              <w:left w:w="280" w:type="dxa"/>
              <w:bottom w:w="180" w:type="dxa"/>
              <w:right w:w="280" w:type="dxa"/>
            </w:tcMar>
          </w:tcPr>
          <w:p w14:paraId="0C2AA949" w14:textId="77777777" w:rsidR="00F9248A" w:rsidRDefault="00000000">
            <w:pPr>
              <w:spacing w:after="80"/>
            </w:pPr>
            <w:r>
              <w:rPr>
                <w:b/>
                <w:bCs/>
                <w:color w:val="0A0A0A"/>
                <w:sz w:val="24"/>
                <w:szCs w:val="24"/>
              </w:rPr>
              <w:t>Engagement–Revenue Disconnect</w:t>
            </w:r>
          </w:p>
          <w:p w14:paraId="5BAD192E" w14:textId="2C5CE3E1" w:rsidR="00F9248A" w:rsidRDefault="00000000">
            <w:pPr>
              <w:spacing w:before="40" w:after="40"/>
            </w:pPr>
            <w:r>
              <w:rPr>
                <w:sz w:val="20"/>
                <w:szCs w:val="20"/>
              </w:rPr>
              <w:t>CRED</w:t>
            </w:r>
            <w:r w:rsidR="008D0C30">
              <w:rPr>
                <w:sz w:val="20"/>
                <w:szCs w:val="20"/>
              </w:rPr>
              <w:t>’</w:t>
            </w:r>
            <w:r>
              <w:rPr>
                <w:sz w:val="20"/>
                <w:szCs w:val="20"/>
              </w:rPr>
              <w:t>s core engagement loop — bill pay, rewards, gamification — generates ~20 sessions/month and 88% retention. The core action generates minimal direct revenue. The engagement loop is optimized to bring users back, not to extract financial value from their return.</w:t>
            </w:r>
          </w:p>
          <w:p w14:paraId="1AABD460" w14:textId="77777777" w:rsidR="00F9248A" w:rsidRDefault="00000000">
            <w:pPr>
              <w:spacing w:before="40" w:after="40"/>
            </w:pPr>
            <w:r>
              <w:rPr>
                <w:sz w:val="20"/>
                <w:szCs w:val="20"/>
              </w:rPr>
              <w:t>A high-engagement system without a monetization conversion layer is not an asset — it is a liability dressed as one. CAC is justified only if engagement eventually converts. Without the conversion layer, every retained user is a cost, not a revenue event.</w:t>
            </w:r>
          </w:p>
          <w:p w14:paraId="4CFF3879" w14:textId="77777777" w:rsidR="00F9248A" w:rsidRDefault="00000000">
            <w:pPr>
              <w:spacing w:before="40" w:after="40"/>
            </w:pPr>
            <w:r>
              <w:rPr>
                <w:sz w:val="20"/>
                <w:szCs w:val="20"/>
              </w:rPr>
              <w:t>The more CRED succeeds at habit formation without monetization, the worse its unit economics become. Infrastructure scales with engagement. Revenue does not follow.</w:t>
            </w:r>
          </w:p>
          <w:p w14:paraId="76264C60" w14:textId="77777777" w:rsidR="00F9248A" w:rsidRDefault="00000000">
            <w:pPr>
              <w:spacing w:before="100"/>
            </w:pPr>
            <w:r>
              <w:rPr>
                <w:b/>
                <w:bCs/>
                <w:color w:val="005A51"/>
                <w:sz w:val="20"/>
                <w:szCs w:val="20"/>
              </w:rPr>
              <w:t>Structural consequence: ARPU capped at ~₹2,000 despite premium users. High usage ≠ high revenue. The gap between these two numbers is the exact size of the architecture failure.</w:t>
            </w:r>
          </w:p>
        </w:tc>
      </w:tr>
    </w:tbl>
    <w:p w14:paraId="41C300F2" w14:textId="77777777" w:rsidR="00F9248A" w:rsidRDefault="00F9248A">
      <w:pPr>
        <w:spacing w:before="1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0"/>
        <w:gridCol w:w="8720"/>
      </w:tblGrid>
      <w:tr w:rsidR="00F9248A" w14:paraId="730AD082" w14:textId="77777777">
        <w:tblPrEx>
          <w:tblCellMar>
            <w:top w:w="0" w:type="dxa"/>
            <w:bottom w:w="0" w:type="dxa"/>
          </w:tblCellMar>
        </w:tblPrEx>
        <w:tc>
          <w:tcPr>
            <w:tcW w:w="640" w:type="dxa"/>
            <w:tcBorders>
              <w:top w:val="single" w:sz="1" w:space="0" w:color="DDDDDD"/>
              <w:left w:val="single" w:sz="1" w:space="0" w:color="DDDDDD"/>
              <w:bottom w:val="single" w:sz="1" w:space="0" w:color="DDDDDD"/>
              <w:right w:val="single" w:sz="1" w:space="0" w:color="DDDDDD"/>
            </w:tcBorders>
            <w:shd w:val="clear" w:color="auto" w:fill="007A6E"/>
            <w:tcMar>
              <w:top w:w="200" w:type="dxa"/>
              <w:left w:w="140" w:type="dxa"/>
              <w:bottom w:w="200" w:type="dxa"/>
              <w:right w:w="140" w:type="dxa"/>
            </w:tcMar>
            <w:vAlign w:val="center"/>
          </w:tcPr>
          <w:p w14:paraId="71081A61" w14:textId="77777777" w:rsidR="00F9248A" w:rsidRDefault="00000000">
            <w:pPr>
              <w:jc w:val="center"/>
            </w:pPr>
            <w:r>
              <w:rPr>
                <w:b/>
                <w:bCs/>
                <w:color w:val="FFFFFF"/>
                <w:sz w:val="28"/>
                <w:szCs w:val="28"/>
              </w:rPr>
              <w:t>02</w:t>
            </w:r>
          </w:p>
        </w:tc>
        <w:tc>
          <w:tcPr>
            <w:tcW w:w="8720" w:type="dxa"/>
            <w:tcBorders>
              <w:top w:val="single" w:sz="1" w:space="0" w:color="DDDDDD"/>
              <w:left w:val="single" w:sz="1" w:space="0" w:color="DDDDDD"/>
              <w:bottom w:val="single" w:sz="1" w:space="0" w:color="DDDDDD"/>
              <w:right w:val="single" w:sz="1" w:space="0" w:color="DDDDDD"/>
            </w:tcBorders>
            <w:shd w:val="clear" w:color="auto" w:fill="FFFFFF"/>
            <w:tcMar>
              <w:top w:w="180" w:type="dxa"/>
              <w:left w:w="280" w:type="dxa"/>
              <w:bottom w:w="180" w:type="dxa"/>
              <w:right w:w="280" w:type="dxa"/>
            </w:tcMar>
          </w:tcPr>
          <w:p w14:paraId="5EE8EC9A" w14:textId="77777777" w:rsidR="00F9248A" w:rsidRDefault="00000000">
            <w:pPr>
              <w:spacing w:after="80"/>
            </w:pPr>
            <w:r>
              <w:rPr>
                <w:b/>
                <w:bCs/>
                <w:color w:val="0A0A0A"/>
                <w:sz w:val="24"/>
                <w:szCs w:val="24"/>
              </w:rPr>
              <w:t>Passive Expansion Architecture — The Core Leak</w:t>
            </w:r>
          </w:p>
          <w:p w14:paraId="28C9C968" w14:textId="77777777" w:rsidR="00F9248A" w:rsidRDefault="00000000">
            <w:pPr>
              <w:spacing w:before="40" w:after="40"/>
            </w:pPr>
            <w:r>
              <w:rPr>
                <w:sz w:val="20"/>
                <w:szCs w:val="20"/>
              </w:rPr>
              <w:t>55% of users remain on 1–2 products. There is no guided journey, no embedded upsell trigger, no system logic that moves a user from bill payment to a contextually relevant financial product.</w:t>
            </w:r>
          </w:p>
          <w:p w14:paraId="60405F1D" w14:textId="59817546" w:rsidR="00F9248A" w:rsidRDefault="00000000">
            <w:pPr>
              <w:spacing w:before="40" w:after="40"/>
            </w:pPr>
            <w:r>
              <w:rPr>
                <w:sz w:val="20"/>
                <w:szCs w:val="20"/>
              </w:rPr>
              <w:t>CRED</w:t>
            </w:r>
            <w:r w:rsidR="008D0C30">
              <w:rPr>
                <w:sz w:val="20"/>
                <w:szCs w:val="20"/>
              </w:rPr>
              <w:t>’</w:t>
            </w:r>
            <w:r>
              <w:rPr>
                <w:sz w:val="20"/>
                <w:szCs w:val="20"/>
              </w:rPr>
              <w:t xml:space="preserve">s own research confirms the failure explicitly: </w:t>
            </w:r>
            <w:r w:rsidR="008D0C30">
              <w:rPr>
                <w:sz w:val="20"/>
                <w:szCs w:val="20"/>
              </w:rPr>
              <w:t>‘</w:t>
            </w:r>
            <w:r>
              <w:rPr>
                <w:sz w:val="20"/>
                <w:szCs w:val="20"/>
              </w:rPr>
              <w:t>users finish the main action but are not told what to do next.</w:t>
            </w:r>
            <w:r w:rsidR="008D0C30">
              <w:rPr>
                <w:sz w:val="20"/>
                <w:szCs w:val="20"/>
              </w:rPr>
              <w:t>’</w:t>
            </w:r>
            <w:r>
              <w:rPr>
                <w:sz w:val="20"/>
                <w:szCs w:val="20"/>
              </w:rPr>
              <w:t xml:space="preserve"> This is not user research — it is a confession that the product has no next-action architecture.</w:t>
            </w:r>
          </w:p>
          <w:p w14:paraId="208DCE8D" w14:textId="77777777" w:rsidR="00F9248A" w:rsidRDefault="00000000">
            <w:pPr>
              <w:spacing w:before="40" w:after="40"/>
            </w:pPr>
            <w:r>
              <w:rPr>
                <w:sz w:val="20"/>
                <w:szCs w:val="20"/>
              </w:rPr>
              <w:t>In a well-designed monetization system, expansion is a product responsibility. When it is left to users to discover, most never do — not because they lack intent, but because the friction of self-directed discovery exceeds the perceived benefit of exploration.</w:t>
            </w:r>
          </w:p>
          <w:p w14:paraId="7B39CA17" w14:textId="0D98CB38" w:rsidR="00F9248A" w:rsidRDefault="00000000">
            <w:pPr>
              <w:spacing w:before="100"/>
            </w:pPr>
            <w:r>
              <w:rPr>
                <w:b/>
                <w:bCs/>
                <w:color w:val="005A51"/>
                <w:sz w:val="20"/>
                <w:szCs w:val="20"/>
              </w:rPr>
              <w:t>Structural consequence: Multi-product users generate 1.5–2x ARPU. With 55% of the active base stuck at single-product, the majority of CRED</w:t>
            </w:r>
            <w:r w:rsidR="008D0C30">
              <w:rPr>
                <w:b/>
                <w:bCs/>
                <w:color w:val="005A51"/>
                <w:sz w:val="20"/>
                <w:szCs w:val="20"/>
              </w:rPr>
              <w:t>’</w:t>
            </w:r>
            <w:r>
              <w:rPr>
                <w:b/>
                <w:bCs/>
                <w:color w:val="005A51"/>
                <w:sz w:val="20"/>
                <w:szCs w:val="20"/>
              </w:rPr>
              <w:t>s highest-quality users are systematically under-monetized.</w:t>
            </w:r>
          </w:p>
        </w:tc>
      </w:tr>
    </w:tbl>
    <w:p w14:paraId="00EE0AAF" w14:textId="77777777" w:rsidR="00F9248A" w:rsidRDefault="00F9248A">
      <w:pPr>
        <w:spacing w:before="1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0"/>
        <w:gridCol w:w="8720"/>
      </w:tblGrid>
      <w:tr w:rsidR="00F9248A" w14:paraId="3A96C5CF" w14:textId="77777777">
        <w:tblPrEx>
          <w:tblCellMar>
            <w:top w:w="0" w:type="dxa"/>
            <w:bottom w:w="0" w:type="dxa"/>
          </w:tblCellMar>
        </w:tblPrEx>
        <w:tc>
          <w:tcPr>
            <w:tcW w:w="640" w:type="dxa"/>
            <w:tcBorders>
              <w:top w:val="single" w:sz="1" w:space="0" w:color="DDDDDD"/>
              <w:left w:val="single" w:sz="1" w:space="0" w:color="DDDDDD"/>
              <w:bottom w:val="single" w:sz="1" w:space="0" w:color="DDDDDD"/>
              <w:right w:val="single" w:sz="1" w:space="0" w:color="DDDDDD"/>
            </w:tcBorders>
            <w:shd w:val="clear" w:color="auto" w:fill="007A6E"/>
            <w:tcMar>
              <w:top w:w="200" w:type="dxa"/>
              <w:left w:w="140" w:type="dxa"/>
              <w:bottom w:w="200" w:type="dxa"/>
              <w:right w:w="140" w:type="dxa"/>
            </w:tcMar>
            <w:vAlign w:val="center"/>
          </w:tcPr>
          <w:p w14:paraId="471C8E00" w14:textId="77777777" w:rsidR="00F9248A" w:rsidRDefault="00000000">
            <w:pPr>
              <w:jc w:val="center"/>
            </w:pPr>
            <w:r>
              <w:rPr>
                <w:b/>
                <w:bCs/>
                <w:color w:val="FFFFFF"/>
                <w:sz w:val="28"/>
                <w:szCs w:val="28"/>
              </w:rPr>
              <w:t>03</w:t>
            </w:r>
          </w:p>
        </w:tc>
        <w:tc>
          <w:tcPr>
            <w:tcW w:w="8720" w:type="dxa"/>
            <w:tcBorders>
              <w:top w:val="single" w:sz="1" w:space="0" w:color="DDDDDD"/>
              <w:left w:val="single" w:sz="1" w:space="0" w:color="DDDDDD"/>
              <w:bottom w:val="single" w:sz="1" w:space="0" w:color="DDDDDD"/>
              <w:right w:val="single" w:sz="1" w:space="0" w:color="DDDDDD"/>
            </w:tcBorders>
            <w:shd w:val="clear" w:color="auto" w:fill="FFFFFF"/>
            <w:tcMar>
              <w:top w:w="180" w:type="dxa"/>
              <w:left w:w="280" w:type="dxa"/>
              <w:bottom w:w="180" w:type="dxa"/>
              <w:right w:w="280" w:type="dxa"/>
            </w:tcMar>
          </w:tcPr>
          <w:p w14:paraId="2D807935" w14:textId="77777777" w:rsidR="00F9248A" w:rsidRDefault="00000000">
            <w:pPr>
              <w:spacing w:after="80"/>
            </w:pPr>
            <w:r>
              <w:rPr>
                <w:b/>
                <w:bCs/>
                <w:color w:val="0A0A0A"/>
                <w:sz w:val="24"/>
                <w:szCs w:val="24"/>
              </w:rPr>
              <w:t>Under-Monetized Premium User Base</w:t>
            </w:r>
          </w:p>
          <w:p w14:paraId="34B6B814" w14:textId="014CFC87" w:rsidR="00F9248A" w:rsidRDefault="00000000">
            <w:pPr>
              <w:spacing w:before="40" w:after="40"/>
            </w:pPr>
            <w:r>
              <w:rPr>
                <w:sz w:val="20"/>
                <w:szCs w:val="20"/>
              </w:rPr>
              <w:t>CRED</w:t>
            </w:r>
            <w:r w:rsidR="008D0C30">
              <w:rPr>
                <w:sz w:val="20"/>
                <w:szCs w:val="20"/>
              </w:rPr>
              <w:t>’</w:t>
            </w:r>
            <w:r>
              <w:rPr>
                <w:sz w:val="20"/>
                <w:szCs w:val="20"/>
              </w:rPr>
              <w:t>s users represent the top 1% of Indian credit-card holders by creditworthiness — high monthly card spends, strong repayment discipline, measurable investable surplus. ₹2,000 ARPU captures a fraction of the financial value this cohort represents.</w:t>
            </w:r>
          </w:p>
          <w:p w14:paraId="60C0983A" w14:textId="394DAD77" w:rsidR="00F9248A" w:rsidRDefault="00000000">
            <w:pPr>
              <w:spacing w:before="40" w:after="40"/>
            </w:pPr>
            <w:r>
              <w:rPr>
                <w:sz w:val="20"/>
                <w:szCs w:val="20"/>
              </w:rPr>
              <w:t>This is not a willingness-to-pay problem. Premium users actively seek financial products. The gap is that CRED</w:t>
            </w:r>
            <w:r w:rsidR="008D0C30">
              <w:rPr>
                <w:sz w:val="20"/>
                <w:szCs w:val="20"/>
              </w:rPr>
              <w:t>’</w:t>
            </w:r>
            <w:r>
              <w:rPr>
                <w:sz w:val="20"/>
                <w:szCs w:val="20"/>
              </w:rPr>
              <w:t>s monetization system applies uniform extraction logic to a non-uniform user base — and the mismatch is structural.</w:t>
            </w:r>
          </w:p>
          <w:p w14:paraId="579CD56A" w14:textId="77777777" w:rsidR="00F9248A" w:rsidRDefault="00000000">
            <w:pPr>
              <w:spacing w:before="40" w:after="40"/>
            </w:pPr>
            <w:r>
              <w:rPr>
                <w:sz w:val="20"/>
                <w:szCs w:val="20"/>
              </w:rPr>
              <w:lastRenderedPageBreak/>
              <w:t>The CIBIL filter was designed to create a premium user base worth more per user. The monetization system has not been designed to extract that premium. CRED is running a Rolls-Royce acquisition funnel into a mid-market monetization model.</w:t>
            </w:r>
          </w:p>
          <w:p w14:paraId="36B43660" w14:textId="6A2EA47A" w:rsidR="00F9248A" w:rsidRDefault="00000000">
            <w:pPr>
              <w:spacing w:before="100"/>
            </w:pPr>
            <w:r>
              <w:rPr>
                <w:b/>
                <w:bCs/>
                <w:color w:val="005A51"/>
                <w:sz w:val="20"/>
                <w:szCs w:val="20"/>
              </w:rPr>
              <w:t>Structural consequence: Massive untapped LTV. The CIBIL ≥750 gate — CRED</w:t>
            </w:r>
            <w:r w:rsidR="008D0C30">
              <w:rPr>
                <w:b/>
                <w:bCs/>
                <w:color w:val="005A51"/>
                <w:sz w:val="20"/>
                <w:szCs w:val="20"/>
              </w:rPr>
              <w:t>’</w:t>
            </w:r>
            <w:r>
              <w:rPr>
                <w:b/>
                <w:bCs/>
                <w:color w:val="005A51"/>
                <w:sz w:val="20"/>
                <w:szCs w:val="20"/>
              </w:rPr>
              <w:t>s most defensible competitive asset — is generating user quality that the revenue system cannot capture.</w:t>
            </w:r>
          </w:p>
        </w:tc>
      </w:tr>
    </w:tbl>
    <w:p w14:paraId="452F743C" w14:textId="77777777" w:rsidR="00F9248A" w:rsidRDefault="00F9248A">
      <w:pPr>
        <w:spacing w:before="1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0"/>
        <w:gridCol w:w="8720"/>
      </w:tblGrid>
      <w:tr w:rsidR="00F9248A" w14:paraId="34D547EC" w14:textId="77777777">
        <w:tblPrEx>
          <w:tblCellMar>
            <w:top w:w="0" w:type="dxa"/>
            <w:bottom w:w="0" w:type="dxa"/>
          </w:tblCellMar>
        </w:tblPrEx>
        <w:tc>
          <w:tcPr>
            <w:tcW w:w="640" w:type="dxa"/>
            <w:tcBorders>
              <w:top w:val="single" w:sz="1" w:space="0" w:color="DDDDDD"/>
              <w:left w:val="single" w:sz="1" w:space="0" w:color="DDDDDD"/>
              <w:bottom w:val="single" w:sz="1" w:space="0" w:color="DDDDDD"/>
              <w:right w:val="single" w:sz="1" w:space="0" w:color="DDDDDD"/>
            </w:tcBorders>
            <w:shd w:val="clear" w:color="auto" w:fill="007A6E"/>
            <w:tcMar>
              <w:top w:w="200" w:type="dxa"/>
              <w:left w:w="140" w:type="dxa"/>
              <w:bottom w:w="200" w:type="dxa"/>
              <w:right w:w="140" w:type="dxa"/>
            </w:tcMar>
            <w:vAlign w:val="center"/>
          </w:tcPr>
          <w:p w14:paraId="488AFA10" w14:textId="77777777" w:rsidR="00F9248A" w:rsidRDefault="00000000">
            <w:pPr>
              <w:jc w:val="center"/>
            </w:pPr>
            <w:r>
              <w:rPr>
                <w:b/>
                <w:bCs/>
                <w:color w:val="FFFFFF"/>
                <w:sz w:val="28"/>
                <w:szCs w:val="28"/>
              </w:rPr>
              <w:t>04</w:t>
            </w:r>
          </w:p>
        </w:tc>
        <w:tc>
          <w:tcPr>
            <w:tcW w:w="8720" w:type="dxa"/>
            <w:tcBorders>
              <w:top w:val="single" w:sz="1" w:space="0" w:color="DDDDDD"/>
              <w:left w:val="single" w:sz="1" w:space="0" w:color="DDDDDD"/>
              <w:bottom w:val="single" w:sz="1" w:space="0" w:color="DDDDDD"/>
              <w:right w:val="single" w:sz="1" w:space="0" w:color="DDDDDD"/>
            </w:tcBorders>
            <w:shd w:val="clear" w:color="auto" w:fill="FFFFFF"/>
            <w:tcMar>
              <w:top w:w="180" w:type="dxa"/>
              <w:left w:w="280" w:type="dxa"/>
              <w:bottom w:w="180" w:type="dxa"/>
              <w:right w:w="280" w:type="dxa"/>
            </w:tcMar>
          </w:tcPr>
          <w:p w14:paraId="16A8109B" w14:textId="77777777" w:rsidR="00F9248A" w:rsidRDefault="00000000">
            <w:pPr>
              <w:spacing w:after="80"/>
            </w:pPr>
            <w:r>
              <w:rPr>
                <w:b/>
                <w:bCs/>
                <w:color w:val="0A0A0A"/>
                <w:sz w:val="24"/>
                <w:szCs w:val="24"/>
              </w:rPr>
              <w:t>Fragmented Product Ecosystem</w:t>
            </w:r>
          </w:p>
          <w:p w14:paraId="4891C726" w14:textId="77777777" w:rsidR="00F9248A" w:rsidRDefault="00000000">
            <w:pPr>
              <w:spacing w:before="40" w:after="40"/>
            </w:pPr>
            <w:r>
              <w:rPr>
                <w:sz w:val="20"/>
                <w:szCs w:val="20"/>
              </w:rPr>
              <w:t xml:space="preserve">CRED has built a meaningful portfolio — loans, UPI, </w:t>
            </w:r>
            <w:proofErr w:type="spellStart"/>
            <w:r>
              <w:rPr>
                <w:sz w:val="20"/>
                <w:szCs w:val="20"/>
              </w:rPr>
              <w:t>RentPay</w:t>
            </w:r>
            <w:proofErr w:type="spellEnd"/>
            <w:r>
              <w:rPr>
                <w:sz w:val="20"/>
                <w:szCs w:val="20"/>
              </w:rPr>
              <w:t>, insurance (Garage), investments (Mint), e-commerce (Store). These are legitimate, revenue-generating products.</w:t>
            </w:r>
          </w:p>
          <w:p w14:paraId="1B91E987" w14:textId="77777777" w:rsidR="00F9248A" w:rsidRDefault="00000000">
            <w:pPr>
              <w:spacing w:before="40" w:after="40"/>
            </w:pPr>
            <w:r>
              <w:rPr>
                <w:sz w:val="20"/>
                <w:szCs w:val="20"/>
              </w:rPr>
              <w:t>But product breadth without product connectivity is not a platform — it is a catalogue. Each product competes for independent user discovery instead of benefiting from system-level expansion logic. The result: low adoption of high-margin products despite a user base primed for them.</w:t>
            </w:r>
          </w:p>
          <w:p w14:paraId="47B8A906" w14:textId="77777777" w:rsidR="00F9248A" w:rsidRDefault="00000000">
            <w:pPr>
              <w:spacing w:before="40" w:after="40"/>
            </w:pPr>
            <w:r>
              <w:rPr>
                <w:sz w:val="20"/>
                <w:szCs w:val="20"/>
              </w:rPr>
              <w:t>Only ~12% use the financial dashboard. This is not a feature awareness problem — it is a journey design problem. Users do not encounter adjacent products through natural usage paths. They encounter them only if they go looking.</w:t>
            </w:r>
          </w:p>
          <w:p w14:paraId="123921E0" w14:textId="77777777" w:rsidR="00F9248A" w:rsidRDefault="00000000">
            <w:pPr>
              <w:spacing w:before="100"/>
            </w:pPr>
            <w:r>
              <w:rPr>
                <w:b/>
                <w:bCs/>
                <w:color w:val="005A51"/>
                <w:sz w:val="20"/>
                <w:szCs w:val="20"/>
              </w:rPr>
              <w:t>Structural consequence: CRED built multiple revenue opportunities — but not the system to activate them. Every high-margin product sits behind a passive discovery wall.</w:t>
            </w:r>
          </w:p>
        </w:tc>
      </w:tr>
    </w:tbl>
    <w:p w14:paraId="7534EF64" w14:textId="77777777" w:rsidR="00F9248A" w:rsidRDefault="00F9248A">
      <w:pPr>
        <w:spacing w:before="100"/>
      </w:pPr>
    </w:p>
    <w:p w14:paraId="0AD0B42F" w14:textId="77777777" w:rsidR="00F9248A" w:rsidRDefault="00F9248A">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9248A" w14:paraId="443A0307" w14:textId="77777777">
        <w:tblPrEx>
          <w:tblCellMar>
            <w:top w:w="0" w:type="dxa"/>
            <w:bottom w:w="0" w:type="dxa"/>
          </w:tblCellMar>
        </w:tblPrEx>
        <w:tc>
          <w:tcPr>
            <w:tcW w:w="9360" w:type="dxa"/>
            <w:tcBorders>
              <w:top w:val="single" w:sz="2" w:space="0" w:color="CCE9E6"/>
              <w:left w:val="single" w:sz="20" w:space="0" w:color="007A6E"/>
              <w:bottom w:val="single" w:sz="2" w:space="0" w:color="CCE9E6"/>
            </w:tcBorders>
            <w:shd w:val="clear" w:color="auto" w:fill="EAF4F3"/>
            <w:tcMar>
              <w:top w:w="220" w:type="dxa"/>
              <w:left w:w="360" w:type="dxa"/>
              <w:bottom w:w="220" w:type="dxa"/>
              <w:right w:w="320" w:type="dxa"/>
            </w:tcMar>
          </w:tcPr>
          <w:p w14:paraId="039D3570" w14:textId="77777777" w:rsidR="00F9248A" w:rsidRDefault="00000000">
            <w:pPr>
              <w:spacing w:after="80"/>
            </w:pPr>
            <w:r>
              <w:rPr>
                <w:b/>
                <w:bCs/>
                <w:color w:val="007A6E"/>
                <w:spacing w:val="100"/>
                <w:sz w:val="16"/>
                <w:szCs w:val="16"/>
              </w:rPr>
              <w:t>◈  NON-OBVIOUS INSIGHT #2: THE REWARDS PROGRAMME IS ACTIVELY COMPETING WITH MONETIZATION</w:t>
            </w:r>
          </w:p>
          <w:p w14:paraId="4117AC4E" w14:textId="77777777" w:rsidR="00F9248A" w:rsidRDefault="00000000">
            <w:r>
              <w:rPr>
                <w:color w:val="111111"/>
                <w:sz w:val="22"/>
                <w:szCs w:val="22"/>
              </w:rPr>
              <w:t>CRED Coins create a psychological substitution effect: users who earn coins on bill payment feel they are already receiving value from the platform. This satisfaction loop reduces perceived need for additional product engagement. The gamification that drives retention may be suppressing the dissatisfaction that typically motivates financial product adoption. CRED has built a system so effective at making users feel rewarded that it inadvertently reduces the urgency to transact further. The engagement engine and the monetization engine are not just disconnected — they may be pulling in opposite directions.</w:t>
            </w:r>
          </w:p>
        </w:tc>
      </w:tr>
    </w:tbl>
    <w:p w14:paraId="00930375" w14:textId="77777777" w:rsidR="00F9248A" w:rsidRDefault="00F9248A">
      <w:pPr>
        <w:spacing w:before="240"/>
      </w:pPr>
    </w:p>
    <w:p w14:paraId="22F83FCD" w14:textId="77777777" w:rsidR="00F9248A" w:rsidRDefault="00000000">
      <w:r>
        <w:br w:type="page"/>
      </w:r>
    </w:p>
    <w:p w14:paraId="28B459F7" w14:textId="77777777" w:rsidR="00F9248A" w:rsidRDefault="00000000">
      <w:pPr>
        <w:spacing w:before="360" w:after="80"/>
      </w:pPr>
      <w:r>
        <w:rPr>
          <w:b/>
          <w:bCs/>
          <w:color w:val="007A6E"/>
          <w:spacing w:val="180"/>
          <w:sz w:val="17"/>
          <w:szCs w:val="17"/>
        </w:rPr>
        <w:lastRenderedPageBreak/>
        <w:t>05 / STRUCTURAL PROBLEM</w:t>
      </w:r>
    </w:p>
    <w:p w14:paraId="29EC2A71" w14:textId="77777777" w:rsidR="00F9248A" w:rsidRDefault="00000000">
      <w:pPr>
        <w:spacing w:before="60" w:after="180"/>
      </w:pPr>
      <w:r>
        <w:rPr>
          <w:b/>
          <w:bCs/>
          <w:color w:val="0A0A0A"/>
          <w:sz w:val="52"/>
          <w:szCs w:val="52"/>
        </w:rPr>
        <w:t>One Failure. Four Symptoms.</w:t>
      </w:r>
    </w:p>
    <w:p w14:paraId="6424FABE" w14:textId="77777777" w:rsidR="00F9248A" w:rsidRDefault="00000000">
      <w:pPr>
        <w:spacing w:before="80" w:after="80"/>
      </w:pPr>
      <w:r>
        <w:t>The four leaks above are not independent problems requiring four independent solutions. They are four visible expressions of a single systemic absence: no automated engagement-to-monetization conversion layer exists anywhere in the product architecture.</w:t>
      </w:r>
    </w:p>
    <w:p w14:paraId="79B42A5E" w14:textId="77777777" w:rsidR="00F9248A" w:rsidRDefault="00F9248A">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9248A" w14:paraId="37192D5F" w14:textId="77777777">
        <w:tblPrEx>
          <w:tblCellMar>
            <w:top w:w="0" w:type="dxa"/>
            <w:bottom w:w="0" w:type="dxa"/>
          </w:tblCellMar>
        </w:tblPrEx>
        <w:tc>
          <w:tcPr>
            <w:tcW w:w="9360" w:type="dxa"/>
            <w:shd w:val="clear" w:color="auto" w:fill="111111"/>
            <w:tcMar>
              <w:top w:w="280" w:type="dxa"/>
              <w:left w:w="360" w:type="dxa"/>
              <w:bottom w:w="280" w:type="dxa"/>
              <w:right w:w="360" w:type="dxa"/>
            </w:tcMar>
          </w:tcPr>
          <w:p w14:paraId="0FCA4A7E" w14:textId="77777777" w:rsidR="00F9248A" w:rsidRDefault="00000000">
            <w:pPr>
              <w:spacing w:before="60" w:after="60"/>
            </w:pPr>
            <w:r>
              <w:rPr>
                <w:b/>
                <w:bCs/>
                <w:color w:val="FFFFFF"/>
                <w:sz w:val="24"/>
                <w:szCs w:val="24"/>
              </w:rPr>
              <w:t>Strong Engagement</w:t>
            </w:r>
          </w:p>
          <w:p w14:paraId="5E987E71" w14:textId="77777777" w:rsidR="00F9248A" w:rsidRDefault="00000000">
            <w:pPr>
              <w:spacing w:before="60" w:after="60"/>
            </w:pPr>
            <w:r>
              <w:rPr>
                <w:color w:val="888888"/>
                <w:sz w:val="24"/>
                <w:szCs w:val="24"/>
              </w:rPr>
              <w:t>↓  No Guided Expansion</w:t>
            </w:r>
          </w:p>
          <w:p w14:paraId="1B379782" w14:textId="77777777" w:rsidR="00F9248A" w:rsidRDefault="00000000">
            <w:pPr>
              <w:spacing w:before="60" w:after="60"/>
            </w:pPr>
            <w:r>
              <w:rPr>
                <w:color w:val="888888"/>
                <w:sz w:val="24"/>
                <w:szCs w:val="24"/>
              </w:rPr>
              <w:t>↓  Low Product Adoption</w:t>
            </w:r>
          </w:p>
          <w:p w14:paraId="3EBC23A1" w14:textId="77777777" w:rsidR="00F9248A" w:rsidRDefault="00000000">
            <w:pPr>
              <w:spacing w:before="60" w:after="60"/>
            </w:pPr>
            <w:r>
              <w:rPr>
                <w:color w:val="888888"/>
                <w:sz w:val="24"/>
                <w:szCs w:val="24"/>
              </w:rPr>
              <w:t>↓  Under-Monetized Premium Users</w:t>
            </w:r>
          </w:p>
          <w:p w14:paraId="52AFA351" w14:textId="77777777" w:rsidR="00F9248A" w:rsidRDefault="00000000">
            <w:pPr>
              <w:spacing w:before="60" w:after="60"/>
            </w:pPr>
            <w:r>
              <w:rPr>
                <w:b/>
                <w:bCs/>
                <w:color w:val="007A6E"/>
                <w:sz w:val="24"/>
                <w:szCs w:val="24"/>
              </w:rPr>
              <w:t>↓  Capped Revenue</w:t>
            </w:r>
          </w:p>
        </w:tc>
      </w:tr>
    </w:tbl>
    <w:p w14:paraId="5BEE7246" w14:textId="77777777" w:rsidR="00F9248A" w:rsidRDefault="00F9248A">
      <w:pPr>
        <w:spacing w:before="1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9248A" w14:paraId="2F1F8E46" w14:textId="77777777">
        <w:tblPrEx>
          <w:tblCellMar>
            <w:top w:w="0" w:type="dxa"/>
            <w:bottom w:w="0" w:type="dxa"/>
          </w:tblCellMar>
        </w:tblPrEx>
        <w:tc>
          <w:tcPr>
            <w:tcW w:w="9360" w:type="dxa"/>
            <w:tcBorders>
              <w:left w:val="single" w:sz="24" w:space="0" w:color="007A6E"/>
            </w:tcBorders>
            <w:shd w:val="clear" w:color="auto" w:fill="111111"/>
            <w:tcMar>
              <w:top w:w="220" w:type="dxa"/>
              <w:left w:w="400" w:type="dxa"/>
              <w:bottom w:w="220" w:type="dxa"/>
              <w:right w:w="280" w:type="dxa"/>
            </w:tcMar>
          </w:tcPr>
          <w:p w14:paraId="65A2BC52" w14:textId="3F9C837F" w:rsidR="00F9248A" w:rsidRDefault="00000000">
            <w:r>
              <w:rPr>
                <w:b/>
                <w:bCs/>
                <w:i/>
                <w:iCs/>
                <w:color w:val="FFFFFF"/>
                <w:sz w:val="25"/>
                <w:szCs w:val="25"/>
              </w:rPr>
              <w:t>CRED</w:t>
            </w:r>
            <w:r w:rsidR="008D0C30">
              <w:rPr>
                <w:b/>
                <w:bCs/>
                <w:i/>
                <w:iCs/>
                <w:color w:val="FFFFFF"/>
                <w:sz w:val="25"/>
                <w:szCs w:val="25"/>
              </w:rPr>
              <w:t>’</w:t>
            </w:r>
            <w:r>
              <w:rPr>
                <w:b/>
                <w:bCs/>
                <w:i/>
                <w:iCs/>
                <w:color w:val="FFFFFF"/>
                <w:sz w:val="25"/>
                <w:szCs w:val="25"/>
              </w:rPr>
              <w:t>s revenue problem is not demand, product, or users. It is the complete absence of a system that converts engagement into monetization — automatically, contextually, and at scale.</w:t>
            </w:r>
          </w:p>
        </w:tc>
      </w:tr>
    </w:tbl>
    <w:p w14:paraId="68A1F044" w14:textId="77777777" w:rsidR="00F9248A" w:rsidRDefault="00F9248A">
      <w:pPr>
        <w:spacing w:before="120"/>
      </w:pPr>
    </w:p>
    <w:p w14:paraId="278B3C91" w14:textId="77777777" w:rsidR="00F9248A" w:rsidRDefault="00000000">
      <w:pPr>
        <w:spacing w:before="80" w:after="80"/>
      </w:pPr>
      <w:r>
        <w:t xml:space="preserve">Every high-value </w:t>
      </w:r>
      <w:proofErr w:type="spellStart"/>
      <w:r>
        <w:t>behavioral</w:t>
      </w:r>
      <w:proofErr w:type="spellEnd"/>
      <w:r>
        <w:t xml:space="preserve"> signal — consistent bill payment, high monthly spend, frequent app returns — is a monetization opportunity. In the current architecture, these signals arrive, are logged, and then expire. No trigger fires. No product surfaces. No revenue event occurs.</w:t>
      </w:r>
    </w:p>
    <w:p w14:paraId="239F54AE" w14:textId="77777777" w:rsidR="00F9248A" w:rsidRDefault="00F9248A">
      <w:pPr>
        <w:spacing w:before="80"/>
      </w:pPr>
    </w:p>
    <w:p w14:paraId="32804E0F" w14:textId="77777777" w:rsidR="00F9248A" w:rsidRDefault="00000000">
      <w:pPr>
        <w:spacing w:before="80" w:after="80"/>
      </w:pPr>
      <w:r>
        <w:t>This is the architecture gap. Everything else is a symptom of it.</w:t>
      </w:r>
    </w:p>
    <w:p w14:paraId="7F3F6DC9" w14:textId="77777777" w:rsidR="00F9248A" w:rsidRDefault="00F9248A">
      <w:pPr>
        <w:spacing w:before="1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9248A" w14:paraId="5169B3BB" w14:textId="77777777">
        <w:tblPrEx>
          <w:tblCellMar>
            <w:top w:w="0" w:type="dxa"/>
            <w:bottom w:w="0" w:type="dxa"/>
          </w:tblCellMar>
        </w:tblPrEx>
        <w:tc>
          <w:tcPr>
            <w:tcW w:w="9360" w:type="dxa"/>
            <w:tcBorders>
              <w:top w:val="single" w:sz="2" w:space="0" w:color="CCE9E6"/>
              <w:left w:val="single" w:sz="20" w:space="0" w:color="007A6E"/>
              <w:bottom w:val="single" w:sz="2" w:space="0" w:color="CCE9E6"/>
            </w:tcBorders>
            <w:shd w:val="clear" w:color="auto" w:fill="EAF4F3"/>
            <w:tcMar>
              <w:top w:w="220" w:type="dxa"/>
              <w:left w:w="360" w:type="dxa"/>
              <w:bottom w:w="220" w:type="dxa"/>
              <w:right w:w="320" w:type="dxa"/>
            </w:tcMar>
          </w:tcPr>
          <w:p w14:paraId="3F63BE24" w14:textId="77777777" w:rsidR="00F9248A" w:rsidRDefault="00000000">
            <w:pPr>
              <w:spacing w:after="80"/>
            </w:pPr>
            <w:r>
              <w:rPr>
                <w:b/>
                <w:bCs/>
                <w:color w:val="007A6E"/>
                <w:spacing w:val="100"/>
                <w:sz w:val="16"/>
                <w:szCs w:val="16"/>
              </w:rPr>
              <w:t>◈  NON-OBVIOUS INSIGHT #3: CRED MAY BE DELIBERATELY DEFERRING MONETIZATION — AND APPROACHING A STRATEGIC INFLECTION POINT</w:t>
            </w:r>
          </w:p>
          <w:p w14:paraId="70824A4F" w14:textId="0B885935" w:rsidR="00F9248A" w:rsidRDefault="00000000">
            <w:r>
              <w:rPr>
                <w:color w:val="111111"/>
                <w:sz w:val="22"/>
                <w:szCs w:val="22"/>
              </w:rPr>
              <w:t>CRED</w:t>
            </w:r>
            <w:r w:rsidR="008D0C30">
              <w:rPr>
                <w:color w:val="111111"/>
                <w:sz w:val="22"/>
                <w:szCs w:val="22"/>
              </w:rPr>
              <w:t>’</w:t>
            </w:r>
            <w:r>
              <w:rPr>
                <w:color w:val="111111"/>
                <w:sz w:val="22"/>
                <w:szCs w:val="22"/>
              </w:rPr>
              <w:t>s monetization restraint may not be purely architectural. Building India</w:t>
            </w:r>
            <w:r w:rsidR="008D0C30">
              <w:rPr>
                <w:color w:val="111111"/>
                <w:sz w:val="22"/>
                <w:szCs w:val="22"/>
              </w:rPr>
              <w:t>’</w:t>
            </w:r>
            <w:r>
              <w:rPr>
                <w:color w:val="111111"/>
                <w:sz w:val="22"/>
                <w:szCs w:val="22"/>
              </w:rPr>
              <w:t>s most premium fintech brand requires not spamming users with financial product pitches — CRED has historically treated monetization as subordinate to trust-building. This was strategically correct in the 0-to-10M user phase. It is strategically dangerous in the 10M-to-50M phase. The same restraint that built the brand is now creating a revenue architecture that cannot scale. The question CRED</w:t>
            </w:r>
            <w:r w:rsidR="008D0C30">
              <w:rPr>
                <w:color w:val="111111"/>
                <w:sz w:val="22"/>
                <w:szCs w:val="22"/>
              </w:rPr>
              <w:t>’</w:t>
            </w:r>
            <w:r>
              <w:rPr>
                <w:color w:val="111111"/>
                <w:sz w:val="22"/>
                <w:szCs w:val="22"/>
              </w:rPr>
              <w:t xml:space="preserve">s leadership must answer is not </w:t>
            </w:r>
            <w:r w:rsidR="008D0C30">
              <w:rPr>
                <w:color w:val="111111"/>
                <w:sz w:val="22"/>
                <w:szCs w:val="22"/>
              </w:rPr>
              <w:t>‘</w:t>
            </w:r>
            <w:r>
              <w:rPr>
                <w:color w:val="111111"/>
                <w:sz w:val="22"/>
                <w:szCs w:val="22"/>
              </w:rPr>
              <w:t>how do we add monetization?</w:t>
            </w:r>
            <w:r w:rsidR="008D0C30">
              <w:rPr>
                <w:color w:val="111111"/>
                <w:sz w:val="22"/>
                <w:szCs w:val="22"/>
              </w:rPr>
              <w:t>’</w:t>
            </w:r>
            <w:r>
              <w:rPr>
                <w:color w:val="111111"/>
                <w:sz w:val="22"/>
                <w:szCs w:val="22"/>
              </w:rPr>
              <w:t xml:space="preserve"> but </w:t>
            </w:r>
            <w:r w:rsidR="008D0C30">
              <w:rPr>
                <w:color w:val="111111"/>
                <w:sz w:val="22"/>
                <w:szCs w:val="22"/>
              </w:rPr>
              <w:t>‘</w:t>
            </w:r>
            <w:r>
              <w:rPr>
                <w:color w:val="111111"/>
                <w:sz w:val="22"/>
                <w:szCs w:val="22"/>
              </w:rPr>
              <w:t>how do we monetize without becoming what we built our brand against?</w:t>
            </w:r>
            <w:r w:rsidR="008D0C30">
              <w:rPr>
                <w:color w:val="111111"/>
                <w:sz w:val="22"/>
                <w:szCs w:val="22"/>
              </w:rPr>
              <w:t>’</w:t>
            </w:r>
            <w:r>
              <w:rPr>
                <w:color w:val="111111"/>
                <w:sz w:val="22"/>
                <w:szCs w:val="22"/>
              </w:rPr>
              <w:t xml:space="preserve"> That is a harder question — and the fixes that follow are designed to answer it.</w:t>
            </w:r>
          </w:p>
        </w:tc>
      </w:tr>
    </w:tbl>
    <w:p w14:paraId="5F20F0A9" w14:textId="77777777" w:rsidR="00F9248A" w:rsidRDefault="00F9248A">
      <w:pPr>
        <w:spacing w:before="240"/>
      </w:pPr>
    </w:p>
    <w:p w14:paraId="0DBD7A89" w14:textId="77777777" w:rsidR="00F9248A" w:rsidRDefault="00000000">
      <w:r>
        <w:br w:type="page"/>
      </w:r>
    </w:p>
    <w:p w14:paraId="391285E7" w14:textId="77777777" w:rsidR="00F9248A" w:rsidRDefault="00000000">
      <w:pPr>
        <w:spacing w:before="360" w:after="80"/>
      </w:pPr>
      <w:r>
        <w:rPr>
          <w:b/>
          <w:bCs/>
          <w:color w:val="007A6E"/>
          <w:spacing w:val="180"/>
          <w:sz w:val="17"/>
          <w:szCs w:val="17"/>
        </w:rPr>
        <w:lastRenderedPageBreak/>
        <w:t>06 / STRATEGIC RE-ARCHITECTURE</w:t>
      </w:r>
    </w:p>
    <w:p w14:paraId="16A7C83C" w14:textId="77777777" w:rsidR="00F9248A" w:rsidRDefault="00000000">
      <w:pPr>
        <w:spacing w:before="60" w:after="180"/>
      </w:pPr>
      <w:r>
        <w:rPr>
          <w:b/>
          <w:bCs/>
          <w:color w:val="0A0A0A"/>
          <w:sz w:val="52"/>
          <w:szCs w:val="52"/>
        </w:rPr>
        <w:t>Four System-Level Fixes</w:t>
      </w:r>
    </w:p>
    <w:p w14:paraId="3DB96D0E" w14:textId="2294F7A8" w:rsidR="00F9248A" w:rsidRDefault="00000000">
      <w:pPr>
        <w:spacing w:before="80" w:after="80"/>
      </w:pPr>
      <w:r>
        <w:t>These are not feature suggestions. They are structural changes to how CRED</w:t>
      </w:r>
      <w:r w:rsidR="008D0C30">
        <w:t>’</w:t>
      </w:r>
      <w:r>
        <w:t>s revenue system is designed — each targeting a specific failure point in the engagement-to-monetization chain. Each includes the execution logic required to make it real, not aspirational.</w:t>
      </w:r>
    </w:p>
    <w:p w14:paraId="0D9981F7" w14:textId="77777777" w:rsidR="00F9248A" w:rsidRDefault="00F9248A">
      <w:pPr>
        <w:spacing w:before="120"/>
      </w:pPr>
    </w:p>
    <w:p w14:paraId="551B85F8" w14:textId="77777777" w:rsidR="00F9248A" w:rsidRDefault="00000000">
      <w:pPr>
        <w:spacing w:before="160" w:after="60"/>
      </w:pPr>
      <w:r>
        <w:rPr>
          <w:b/>
          <w:bCs/>
          <w:color w:val="888888"/>
          <w:spacing w:val="100"/>
          <w:sz w:val="17"/>
          <w:szCs w:val="17"/>
        </w:rPr>
        <w:t>FIGURE 03  ·  CURRENT SYSTEM VS. IDEAL SYSTEM</w:t>
      </w:r>
    </w:p>
    <w:p w14:paraId="5DDB6DD9" w14:textId="59746271" w:rsidR="00F9248A" w:rsidRDefault="008D0C30" w:rsidP="008D0C30">
      <w:pPr>
        <w:spacing w:before="140"/>
        <w:jc w:val="center"/>
      </w:pPr>
      <w:r>
        <w:rPr>
          <w:noProof/>
        </w:rPr>
        <w:drawing>
          <wp:inline distT="0" distB="0" distL="0" distR="0" wp14:anchorId="60F17F83" wp14:editId="2BB5A519">
            <wp:extent cx="4495800" cy="3000375"/>
            <wp:effectExtent l="0" t="0" r="0" b="0"/>
            <wp:docPr id="341688133" name="Picture 34168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4495800" cy="3000375"/>
                    </a:xfrm>
                    <a:prstGeom prst="rect">
                      <a:avLst/>
                    </a:prstGeom>
                  </pic:spPr>
                </pic:pic>
              </a:graphicData>
            </a:graphic>
          </wp:inline>
        </w:drawing>
      </w:r>
    </w:p>
    <w:p w14:paraId="44510708" w14:textId="424387C7" w:rsidR="008D0C30" w:rsidRDefault="008D0C30" w:rsidP="008D0C30">
      <w:pPr>
        <w:spacing w:before="140"/>
        <w:jc w:val="center"/>
      </w:pPr>
      <w:r>
        <w:rPr>
          <w:color w:val="6B7280"/>
          <w:sz w:val="18"/>
          <w:szCs w:val="18"/>
        </w:rPr>
        <w:t>Current: passive drop-off after core action. Ideal: guided conversion layer that moves users into contextual monetization automatically.</w:t>
      </w:r>
    </w:p>
    <w:p w14:paraId="04D1F51B" w14:textId="77777777" w:rsidR="008D0C30" w:rsidRDefault="008D0C30" w:rsidP="008D0C30">
      <w:pPr>
        <w:spacing w:before="140"/>
        <w:jc w:val="cente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241"/>
        <w:gridCol w:w="4119"/>
      </w:tblGrid>
      <w:tr w:rsidR="00F9248A" w14:paraId="39CD595D" w14:textId="77777777">
        <w:tblPrEx>
          <w:tblCellMar>
            <w:top w:w="0" w:type="dxa"/>
            <w:bottom w:w="0" w:type="dxa"/>
          </w:tblCellMar>
        </w:tblPrEx>
        <w:trPr>
          <w:gridAfter w:val="1"/>
          <w:wAfter w:w="360" w:type="dxa"/>
        </w:trPr>
        <w:tc>
          <w:tcPr>
            <w:tcW w:w="9360" w:type="dxa"/>
            <w:tcBorders>
              <w:top w:val="single" w:sz="1" w:space="0" w:color="DDDDDD"/>
              <w:left w:val="single" w:sz="1" w:space="0" w:color="DDDDDD"/>
              <w:bottom w:val="single" w:sz="4" w:space="0" w:color="111111"/>
              <w:right w:val="single" w:sz="1" w:space="0" w:color="DDDDDD"/>
            </w:tcBorders>
            <w:shd w:val="clear" w:color="auto" w:fill="111111"/>
            <w:tcMar>
              <w:top w:w="160" w:type="dxa"/>
              <w:left w:w="280" w:type="dxa"/>
              <w:bottom w:w="160" w:type="dxa"/>
              <w:right w:w="280" w:type="dxa"/>
            </w:tcMar>
          </w:tcPr>
          <w:p w14:paraId="4611F413" w14:textId="77777777" w:rsidR="00F9248A" w:rsidRDefault="00000000">
            <w:r>
              <w:rPr>
                <w:b/>
                <w:bCs/>
                <w:color w:val="007A6E"/>
                <w:sz w:val="19"/>
                <w:szCs w:val="19"/>
              </w:rPr>
              <w:t xml:space="preserve">01  </w:t>
            </w:r>
            <w:r>
              <w:rPr>
                <w:b/>
                <w:bCs/>
                <w:color w:val="FFFFFF"/>
                <w:sz w:val="26"/>
                <w:szCs w:val="26"/>
              </w:rPr>
              <w:t>Value-Linked Monetization Layers</w:t>
            </w:r>
          </w:p>
        </w:tc>
      </w:tr>
      <w:tr w:rsidR="00F9248A" w14:paraId="3CFD5469" w14:textId="77777777">
        <w:tblPrEx>
          <w:tblCellMar>
            <w:top w:w="0" w:type="dxa"/>
            <w:bottom w:w="0" w:type="dxa"/>
          </w:tblCellMar>
        </w:tblPrEx>
        <w:tc>
          <w:tcPr>
            <w:tcW w:w="1600" w:type="dxa"/>
            <w:tcBorders>
              <w:bottom w:val="single" w:sz="1" w:space="0" w:color="DDDDDD"/>
            </w:tcBorders>
            <w:shd w:val="clear" w:color="auto" w:fill="EAF4F3"/>
            <w:tcMar>
              <w:top w:w="100" w:type="dxa"/>
              <w:left w:w="200" w:type="dxa"/>
              <w:bottom w:w="100" w:type="dxa"/>
              <w:right w:w="120" w:type="dxa"/>
            </w:tcMar>
          </w:tcPr>
          <w:p w14:paraId="15EA242C" w14:textId="77777777" w:rsidR="00F9248A" w:rsidRDefault="00000000">
            <w:r>
              <w:rPr>
                <w:b/>
                <w:bCs/>
                <w:color w:val="007A6E"/>
                <w:spacing w:val="80"/>
                <w:sz w:val="17"/>
                <w:szCs w:val="17"/>
              </w:rPr>
              <w:t>SIGNAL</w:t>
            </w:r>
          </w:p>
        </w:tc>
        <w:tc>
          <w:tcPr>
            <w:tcW w:w="7360" w:type="dxa"/>
            <w:tcBorders>
              <w:bottom w:val="single" w:sz="1" w:space="0" w:color="DDDDDD"/>
            </w:tcBorders>
            <w:shd w:val="clear" w:color="auto" w:fill="FFFFFF"/>
            <w:tcMar>
              <w:top w:w="100" w:type="dxa"/>
              <w:left w:w="200" w:type="dxa"/>
              <w:bottom w:w="100" w:type="dxa"/>
              <w:right w:w="200" w:type="dxa"/>
            </w:tcMar>
          </w:tcPr>
          <w:p w14:paraId="527A683A" w14:textId="77777777" w:rsidR="00F9248A" w:rsidRDefault="00000000">
            <w:r>
              <w:t>User pays ≥₹15,000 bill consecutively for 3+ months, or has ₹50,000+ in average monthly card spend — indicating income level and financial management capacity above the base threshold.</w:t>
            </w:r>
          </w:p>
        </w:tc>
      </w:tr>
      <w:tr w:rsidR="00F9248A" w14:paraId="73E72634" w14:textId="77777777">
        <w:tblPrEx>
          <w:tblCellMar>
            <w:top w:w="0" w:type="dxa"/>
            <w:bottom w:w="0" w:type="dxa"/>
          </w:tblCellMar>
        </w:tblPrEx>
        <w:tc>
          <w:tcPr>
            <w:tcW w:w="1600" w:type="dxa"/>
            <w:tcBorders>
              <w:bottom w:val="single" w:sz="1" w:space="0" w:color="DDDDDD"/>
            </w:tcBorders>
            <w:shd w:val="clear" w:color="auto" w:fill="EAF4F3"/>
            <w:tcMar>
              <w:top w:w="100" w:type="dxa"/>
              <w:left w:w="200" w:type="dxa"/>
              <w:bottom w:w="100" w:type="dxa"/>
              <w:right w:w="120" w:type="dxa"/>
            </w:tcMar>
          </w:tcPr>
          <w:p w14:paraId="5D9C03BA" w14:textId="77777777" w:rsidR="00F9248A" w:rsidRDefault="00000000">
            <w:r>
              <w:rPr>
                <w:b/>
                <w:bCs/>
                <w:color w:val="007A6E"/>
                <w:spacing w:val="80"/>
                <w:sz w:val="17"/>
                <w:szCs w:val="17"/>
              </w:rPr>
              <w:t>TRIGGER</w:t>
            </w:r>
          </w:p>
        </w:tc>
        <w:tc>
          <w:tcPr>
            <w:tcW w:w="7360" w:type="dxa"/>
            <w:tcBorders>
              <w:bottom w:val="single" w:sz="1" w:space="0" w:color="DDDDDD"/>
            </w:tcBorders>
            <w:shd w:val="clear" w:color="auto" w:fill="FFFFFF"/>
            <w:tcMar>
              <w:top w:w="100" w:type="dxa"/>
              <w:left w:w="200" w:type="dxa"/>
              <w:bottom w:w="100" w:type="dxa"/>
              <w:right w:w="200" w:type="dxa"/>
            </w:tcMar>
          </w:tcPr>
          <w:p w14:paraId="4547F0A1" w14:textId="77777777" w:rsidR="00F9248A" w:rsidRDefault="00000000">
            <w:r>
              <w:t>Post-bill-pay confirmation screen (highest engagement moment in the session) triggers a contextually framed offer: credit line for liquidity management, investment product for idle surplus, or premium financial tool calibrated to their credit profile. Trigger fires within 2 seconds of payment confirmation.</w:t>
            </w:r>
          </w:p>
        </w:tc>
      </w:tr>
      <w:tr w:rsidR="00F9248A" w14:paraId="509C53F5" w14:textId="77777777">
        <w:tblPrEx>
          <w:tblCellMar>
            <w:top w:w="0" w:type="dxa"/>
            <w:bottom w:w="0" w:type="dxa"/>
          </w:tblCellMar>
        </w:tblPrEx>
        <w:tc>
          <w:tcPr>
            <w:tcW w:w="1600" w:type="dxa"/>
            <w:tcBorders>
              <w:bottom w:val="single" w:sz="1" w:space="0" w:color="DDDDDD"/>
            </w:tcBorders>
            <w:shd w:val="clear" w:color="auto" w:fill="EAF4F3"/>
            <w:tcMar>
              <w:top w:w="100" w:type="dxa"/>
              <w:left w:w="200" w:type="dxa"/>
              <w:bottom w:w="100" w:type="dxa"/>
              <w:right w:w="120" w:type="dxa"/>
            </w:tcMar>
          </w:tcPr>
          <w:p w14:paraId="05B1914E" w14:textId="77777777" w:rsidR="00F9248A" w:rsidRDefault="00000000">
            <w:r>
              <w:rPr>
                <w:b/>
                <w:bCs/>
                <w:color w:val="007A6E"/>
                <w:spacing w:val="80"/>
                <w:sz w:val="17"/>
                <w:szCs w:val="17"/>
              </w:rPr>
              <w:t>UX GATE</w:t>
            </w:r>
          </w:p>
        </w:tc>
        <w:tc>
          <w:tcPr>
            <w:tcW w:w="7360" w:type="dxa"/>
            <w:tcBorders>
              <w:bottom w:val="single" w:sz="1" w:space="0" w:color="DDDDDD"/>
            </w:tcBorders>
            <w:shd w:val="clear" w:color="auto" w:fill="FFFFFF"/>
            <w:tcMar>
              <w:top w:w="100" w:type="dxa"/>
              <w:left w:w="200" w:type="dxa"/>
              <w:bottom w:w="100" w:type="dxa"/>
              <w:right w:w="200" w:type="dxa"/>
            </w:tcMar>
          </w:tcPr>
          <w:p w14:paraId="08200CEB" w14:textId="404DEAFC" w:rsidR="00F9248A" w:rsidRDefault="00000000">
            <w:r>
              <w:t xml:space="preserve">One offer per session maximum. Premium visual presentation — never a </w:t>
            </w:r>
            <w:r>
              <w:lastRenderedPageBreak/>
              <w:t xml:space="preserve">banner or pop-up. Framed as </w:t>
            </w:r>
            <w:r w:rsidR="008D0C30">
              <w:t>‘</w:t>
            </w:r>
            <w:r>
              <w:t>Your CRED profile qualifies you for…</w:t>
            </w:r>
            <w:r w:rsidR="008D0C30">
              <w:t>’</w:t>
            </w:r>
            <w:r>
              <w:t xml:space="preserve"> not </w:t>
            </w:r>
            <w:r w:rsidR="008D0C30">
              <w:t>‘</w:t>
            </w:r>
            <w:r>
              <w:t>Upgrade now.</w:t>
            </w:r>
            <w:r w:rsidR="008D0C30">
              <w:t>’</w:t>
            </w:r>
            <w:r>
              <w:t xml:space="preserve"> Dismiss option always visible. System learns from dismissals and adjusts frequency and offer type accordingly.</w:t>
            </w:r>
          </w:p>
        </w:tc>
      </w:tr>
      <w:tr w:rsidR="00F9248A" w14:paraId="5299F952" w14:textId="77777777">
        <w:tblPrEx>
          <w:tblCellMar>
            <w:top w:w="0" w:type="dxa"/>
            <w:bottom w:w="0" w:type="dxa"/>
          </w:tblCellMar>
        </w:tblPrEx>
        <w:tc>
          <w:tcPr>
            <w:tcW w:w="1600" w:type="dxa"/>
            <w:shd w:val="clear" w:color="auto" w:fill="EAF4F3"/>
            <w:tcMar>
              <w:top w:w="100" w:type="dxa"/>
              <w:left w:w="200" w:type="dxa"/>
              <w:bottom w:w="100" w:type="dxa"/>
              <w:right w:w="120" w:type="dxa"/>
            </w:tcMar>
          </w:tcPr>
          <w:p w14:paraId="184DCDE0" w14:textId="77777777" w:rsidR="00F9248A" w:rsidRDefault="00000000">
            <w:r>
              <w:rPr>
                <w:b/>
                <w:bCs/>
                <w:color w:val="007A6E"/>
                <w:spacing w:val="80"/>
                <w:sz w:val="17"/>
                <w:szCs w:val="17"/>
              </w:rPr>
              <w:lastRenderedPageBreak/>
              <w:t>REVENUE OUTCOME</w:t>
            </w:r>
          </w:p>
        </w:tc>
        <w:tc>
          <w:tcPr>
            <w:tcW w:w="7360" w:type="dxa"/>
            <w:shd w:val="clear" w:color="auto" w:fill="FFFFFF"/>
            <w:tcMar>
              <w:top w:w="100" w:type="dxa"/>
              <w:left w:w="200" w:type="dxa"/>
              <w:bottom w:w="100" w:type="dxa"/>
              <w:right w:w="200" w:type="dxa"/>
            </w:tcMar>
          </w:tcPr>
          <w:p w14:paraId="7BDFC51E" w14:textId="77777777" w:rsidR="00F9248A" w:rsidRDefault="00000000">
            <w:r>
              <w:t>Monetization fires at the moment of highest intent and lowest friction — immediately after a completed financial action. Conversion uplift: +10–20% on monetized actions. ARPU increase: +5–8%. Revenue potential: ₹130–220 Cr/year.</w:t>
            </w:r>
          </w:p>
        </w:tc>
      </w:tr>
    </w:tbl>
    <w:p w14:paraId="77FEAE81" w14:textId="77777777" w:rsidR="00F9248A" w:rsidRDefault="00F9248A">
      <w:pPr>
        <w:spacing w:before="1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48"/>
        <w:gridCol w:w="4312"/>
      </w:tblGrid>
      <w:tr w:rsidR="00F9248A" w14:paraId="50D90882" w14:textId="77777777">
        <w:tblPrEx>
          <w:tblCellMar>
            <w:top w:w="0" w:type="dxa"/>
            <w:bottom w:w="0" w:type="dxa"/>
          </w:tblCellMar>
        </w:tblPrEx>
        <w:trPr>
          <w:gridAfter w:val="1"/>
          <w:wAfter w:w="360" w:type="dxa"/>
        </w:trPr>
        <w:tc>
          <w:tcPr>
            <w:tcW w:w="9360" w:type="dxa"/>
            <w:tcBorders>
              <w:top w:val="single" w:sz="1" w:space="0" w:color="DDDDDD"/>
              <w:left w:val="single" w:sz="1" w:space="0" w:color="DDDDDD"/>
              <w:bottom w:val="single" w:sz="4" w:space="0" w:color="111111"/>
              <w:right w:val="single" w:sz="1" w:space="0" w:color="DDDDDD"/>
            </w:tcBorders>
            <w:shd w:val="clear" w:color="auto" w:fill="111111"/>
            <w:tcMar>
              <w:top w:w="160" w:type="dxa"/>
              <w:left w:w="280" w:type="dxa"/>
              <w:bottom w:w="160" w:type="dxa"/>
              <w:right w:w="280" w:type="dxa"/>
            </w:tcMar>
          </w:tcPr>
          <w:p w14:paraId="00798467" w14:textId="77777777" w:rsidR="00F9248A" w:rsidRDefault="00000000">
            <w:r>
              <w:rPr>
                <w:b/>
                <w:bCs/>
                <w:color w:val="007A6E"/>
                <w:sz w:val="19"/>
                <w:szCs w:val="19"/>
              </w:rPr>
              <w:t xml:space="preserve">02  </w:t>
            </w:r>
            <w:r>
              <w:rPr>
                <w:b/>
                <w:bCs/>
                <w:color w:val="FFFFFF"/>
                <w:sz w:val="26"/>
                <w:szCs w:val="26"/>
              </w:rPr>
              <w:t>Guided Expansion Engine</w:t>
            </w:r>
          </w:p>
        </w:tc>
      </w:tr>
      <w:tr w:rsidR="00F9248A" w14:paraId="27883B5B" w14:textId="77777777">
        <w:tblPrEx>
          <w:tblCellMar>
            <w:top w:w="0" w:type="dxa"/>
            <w:bottom w:w="0" w:type="dxa"/>
          </w:tblCellMar>
        </w:tblPrEx>
        <w:tc>
          <w:tcPr>
            <w:tcW w:w="1600" w:type="dxa"/>
            <w:tcBorders>
              <w:bottom w:val="single" w:sz="1" w:space="0" w:color="DDDDDD"/>
            </w:tcBorders>
            <w:shd w:val="clear" w:color="auto" w:fill="EAF4F3"/>
            <w:tcMar>
              <w:top w:w="100" w:type="dxa"/>
              <w:left w:w="200" w:type="dxa"/>
              <w:bottom w:w="100" w:type="dxa"/>
              <w:right w:w="120" w:type="dxa"/>
            </w:tcMar>
          </w:tcPr>
          <w:p w14:paraId="312839B2" w14:textId="77777777" w:rsidR="00F9248A" w:rsidRDefault="00000000">
            <w:r>
              <w:rPr>
                <w:b/>
                <w:bCs/>
                <w:color w:val="007A6E"/>
                <w:spacing w:val="80"/>
                <w:sz w:val="17"/>
                <w:szCs w:val="17"/>
              </w:rPr>
              <w:t>SIGNAL</w:t>
            </w:r>
          </w:p>
        </w:tc>
        <w:tc>
          <w:tcPr>
            <w:tcW w:w="7360" w:type="dxa"/>
            <w:tcBorders>
              <w:bottom w:val="single" w:sz="1" w:space="0" w:color="DDDDDD"/>
            </w:tcBorders>
            <w:shd w:val="clear" w:color="auto" w:fill="FFFFFF"/>
            <w:tcMar>
              <w:top w:w="100" w:type="dxa"/>
              <w:left w:w="200" w:type="dxa"/>
              <w:bottom w:w="100" w:type="dxa"/>
              <w:right w:w="200" w:type="dxa"/>
            </w:tcMar>
          </w:tcPr>
          <w:p w14:paraId="6F3A3821" w14:textId="77777777" w:rsidR="00F9248A" w:rsidRDefault="00000000">
            <w:r>
              <w:t>User completes bill pay. No secondary feature interaction in the current session. Session recency score indicates high-intent window (first 90 seconds post-payment).</w:t>
            </w:r>
          </w:p>
        </w:tc>
      </w:tr>
      <w:tr w:rsidR="00F9248A" w14:paraId="6970584C" w14:textId="77777777">
        <w:tblPrEx>
          <w:tblCellMar>
            <w:top w:w="0" w:type="dxa"/>
            <w:bottom w:w="0" w:type="dxa"/>
          </w:tblCellMar>
        </w:tblPrEx>
        <w:tc>
          <w:tcPr>
            <w:tcW w:w="1600" w:type="dxa"/>
            <w:tcBorders>
              <w:bottom w:val="single" w:sz="1" w:space="0" w:color="DDDDDD"/>
            </w:tcBorders>
            <w:shd w:val="clear" w:color="auto" w:fill="EAF4F3"/>
            <w:tcMar>
              <w:top w:w="100" w:type="dxa"/>
              <w:left w:w="200" w:type="dxa"/>
              <w:bottom w:w="100" w:type="dxa"/>
              <w:right w:w="120" w:type="dxa"/>
            </w:tcMar>
          </w:tcPr>
          <w:p w14:paraId="3059E528" w14:textId="77777777" w:rsidR="00F9248A" w:rsidRDefault="00000000">
            <w:r>
              <w:rPr>
                <w:b/>
                <w:bCs/>
                <w:color w:val="007A6E"/>
                <w:spacing w:val="80"/>
                <w:sz w:val="17"/>
                <w:szCs w:val="17"/>
              </w:rPr>
              <w:t>TRIGGER</w:t>
            </w:r>
          </w:p>
        </w:tc>
        <w:tc>
          <w:tcPr>
            <w:tcW w:w="7360" w:type="dxa"/>
            <w:tcBorders>
              <w:bottom w:val="single" w:sz="1" w:space="0" w:color="DDDDDD"/>
            </w:tcBorders>
            <w:shd w:val="clear" w:color="auto" w:fill="FFFFFF"/>
            <w:tcMar>
              <w:top w:w="100" w:type="dxa"/>
              <w:left w:w="200" w:type="dxa"/>
              <w:bottom w:w="100" w:type="dxa"/>
              <w:right w:w="200" w:type="dxa"/>
            </w:tcMar>
          </w:tcPr>
          <w:p w14:paraId="03B8F3DF" w14:textId="7B2C2C3C" w:rsidR="00F9248A" w:rsidRDefault="00000000">
            <w:r>
              <w:t xml:space="preserve">Engineered next-action layer activates: </w:t>
            </w:r>
            <w:r w:rsidR="008D0C30">
              <w:t>‘</w:t>
            </w:r>
            <w:r>
              <w:t>Paid ₹X this month → your credit utilization is Y% → here</w:t>
            </w:r>
            <w:r w:rsidR="008D0C30">
              <w:t>’</w:t>
            </w:r>
            <w:r>
              <w:t>s how to optimize it.</w:t>
            </w:r>
            <w:r w:rsidR="008D0C30">
              <w:t>’</w:t>
            </w:r>
            <w:r>
              <w:t xml:space="preserve"> Or: </w:t>
            </w:r>
            <w:r w:rsidR="008D0C30">
              <w:t>‘</w:t>
            </w:r>
            <w:r>
              <w:t>High spend detected this month → you</w:t>
            </w:r>
            <w:r w:rsidR="008D0C30">
              <w:t>’</w:t>
            </w:r>
            <w:r>
              <w:t>re eligible for a credit line that earns you 2x coins.</w:t>
            </w:r>
            <w:r w:rsidR="008D0C30">
              <w:t>’</w:t>
            </w:r>
            <w:r>
              <w:t xml:space="preserve"> The trigger maps the completed action to the most contextually relevant adjacent product — not a generic upsell, but a behavior-derived recommendation.</w:t>
            </w:r>
          </w:p>
        </w:tc>
      </w:tr>
      <w:tr w:rsidR="00F9248A" w14:paraId="7238BB5A" w14:textId="77777777">
        <w:tblPrEx>
          <w:tblCellMar>
            <w:top w:w="0" w:type="dxa"/>
            <w:bottom w:w="0" w:type="dxa"/>
          </w:tblCellMar>
        </w:tblPrEx>
        <w:tc>
          <w:tcPr>
            <w:tcW w:w="1600" w:type="dxa"/>
            <w:tcBorders>
              <w:bottom w:val="single" w:sz="1" w:space="0" w:color="DDDDDD"/>
            </w:tcBorders>
            <w:shd w:val="clear" w:color="auto" w:fill="EAF4F3"/>
            <w:tcMar>
              <w:top w:w="100" w:type="dxa"/>
              <w:left w:w="200" w:type="dxa"/>
              <w:bottom w:w="100" w:type="dxa"/>
              <w:right w:w="120" w:type="dxa"/>
            </w:tcMar>
          </w:tcPr>
          <w:p w14:paraId="15F854D9" w14:textId="77777777" w:rsidR="00F9248A" w:rsidRDefault="00000000">
            <w:r>
              <w:rPr>
                <w:b/>
                <w:bCs/>
                <w:color w:val="007A6E"/>
                <w:spacing w:val="80"/>
                <w:sz w:val="17"/>
                <w:szCs w:val="17"/>
              </w:rPr>
              <w:t>UX GATE</w:t>
            </w:r>
          </w:p>
        </w:tc>
        <w:tc>
          <w:tcPr>
            <w:tcW w:w="7360" w:type="dxa"/>
            <w:tcBorders>
              <w:bottom w:val="single" w:sz="1" w:space="0" w:color="DDDDDD"/>
            </w:tcBorders>
            <w:shd w:val="clear" w:color="auto" w:fill="FFFFFF"/>
            <w:tcMar>
              <w:top w:w="100" w:type="dxa"/>
              <w:left w:w="200" w:type="dxa"/>
              <w:bottom w:w="100" w:type="dxa"/>
              <w:right w:w="200" w:type="dxa"/>
            </w:tcMar>
          </w:tcPr>
          <w:p w14:paraId="72DBB842" w14:textId="77777777" w:rsidR="00F9248A" w:rsidRDefault="00000000">
            <w:r>
              <w:t>Next action must be presented as insight, not offer. User must feel informed, not sold to. Maximum one next-action prompt per session. No repeated prompts for dismissed recommendations within 14 days. Premium users respond to intelligence, not urgency.</w:t>
            </w:r>
          </w:p>
        </w:tc>
      </w:tr>
      <w:tr w:rsidR="00F9248A" w14:paraId="01F24625" w14:textId="77777777">
        <w:tblPrEx>
          <w:tblCellMar>
            <w:top w:w="0" w:type="dxa"/>
            <w:bottom w:w="0" w:type="dxa"/>
          </w:tblCellMar>
        </w:tblPrEx>
        <w:tc>
          <w:tcPr>
            <w:tcW w:w="1600" w:type="dxa"/>
            <w:shd w:val="clear" w:color="auto" w:fill="EAF4F3"/>
            <w:tcMar>
              <w:top w:w="100" w:type="dxa"/>
              <w:left w:w="200" w:type="dxa"/>
              <w:bottom w:w="100" w:type="dxa"/>
              <w:right w:w="120" w:type="dxa"/>
            </w:tcMar>
          </w:tcPr>
          <w:p w14:paraId="057863CF" w14:textId="77777777" w:rsidR="00F9248A" w:rsidRDefault="00000000">
            <w:r>
              <w:rPr>
                <w:b/>
                <w:bCs/>
                <w:color w:val="007A6E"/>
                <w:spacing w:val="80"/>
                <w:sz w:val="17"/>
                <w:szCs w:val="17"/>
              </w:rPr>
              <w:t>REVENUE OUTCOME</w:t>
            </w:r>
          </w:p>
        </w:tc>
        <w:tc>
          <w:tcPr>
            <w:tcW w:w="7360" w:type="dxa"/>
            <w:shd w:val="clear" w:color="auto" w:fill="FFFFFF"/>
            <w:tcMar>
              <w:top w:w="100" w:type="dxa"/>
              <w:left w:w="200" w:type="dxa"/>
              <w:bottom w:w="100" w:type="dxa"/>
              <w:right w:w="200" w:type="dxa"/>
            </w:tcMar>
          </w:tcPr>
          <w:p w14:paraId="7699B644" w14:textId="77777777" w:rsidR="00F9248A" w:rsidRDefault="00000000">
            <w:r>
              <w:t>Removes decision friction at the highest-intent moment in the user journey. Turns the product from a transactional utility into a guided financial system. Multi-product adoption uplift: +5–10%. Revenue impact: ₹150–300 Cr/year across the 55% single-product base.</w:t>
            </w:r>
          </w:p>
        </w:tc>
      </w:tr>
    </w:tbl>
    <w:p w14:paraId="46799B3C" w14:textId="77777777" w:rsidR="00F9248A" w:rsidRDefault="00F9248A">
      <w:pPr>
        <w:spacing w:before="1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107"/>
        <w:gridCol w:w="4253"/>
      </w:tblGrid>
      <w:tr w:rsidR="00F9248A" w14:paraId="71724930" w14:textId="77777777">
        <w:tblPrEx>
          <w:tblCellMar>
            <w:top w:w="0" w:type="dxa"/>
            <w:bottom w:w="0" w:type="dxa"/>
          </w:tblCellMar>
        </w:tblPrEx>
        <w:trPr>
          <w:gridAfter w:val="1"/>
          <w:wAfter w:w="360" w:type="dxa"/>
        </w:trPr>
        <w:tc>
          <w:tcPr>
            <w:tcW w:w="9360" w:type="dxa"/>
            <w:tcBorders>
              <w:top w:val="single" w:sz="1" w:space="0" w:color="DDDDDD"/>
              <w:left w:val="single" w:sz="1" w:space="0" w:color="DDDDDD"/>
              <w:bottom w:val="single" w:sz="4" w:space="0" w:color="111111"/>
              <w:right w:val="single" w:sz="1" w:space="0" w:color="DDDDDD"/>
            </w:tcBorders>
            <w:shd w:val="clear" w:color="auto" w:fill="111111"/>
            <w:tcMar>
              <w:top w:w="160" w:type="dxa"/>
              <w:left w:w="280" w:type="dxa"/>
              <w:bottom w:w="160" w:type="dxa"/>
              <w:right w:w="280" w:type="dxa"/>
            </w:tcMar>
          </w:tcPr>
          <w:p w14:paraId="42452391" w14:textId="77777777" w:rsidR="00F9248A" w:rsidRDefault="00000000">
            <w:r>
              <w:rPr>
                <w:b/>
                <w:bCs/>
                <w:color w:val="007A6E"/>
                <w:sz w:val="19"/>
                <w:szCs w:val="19"/>
              </w:rPr>
              <w:t xml:space="preserve">03  </w:t>
            </w:r>
            <w:r>
              <w:rPr>
                <w:b/>
                <w:bCs/>
                <w:color w:val="FFFFFF"/>
                <w:sz w:val="26"/>
                <w:szCs w:val="26"/>
              </w:rPr>
              <w:t>Tiered Value Extraction Model</w:t>
            </w:r>
          </w:p>
        </w:tc>
      </w:tr>
      <w:tr w:rsidR="00F9248A" w14:paraId="5FF8FEC3" w14:textId="77777777">
        <w:tblPrEx>
          <w:tblCellMar>
            <w:top w:w="0" w:type="dxa"/>
            <w:bottom w:w="0" w:type="dxa"/>
          </w:tblCellMar>
        </w:tblPrEx>
        <w:tc>
          <w:tcPr>
            <w:tcW w:w="1600" w:type="dxa"/>
            <w:tcBorders>
              <w:bottom w:val="single" w:sz="1" w:space="0" w:color="DDDDDD"/>
            </w:tcBorders>
            <w:shd w:val="clear" w:color="auto" w:fill="EAF4F3"/>
            <w:tcMar>
              <w:top w:w="100" w:type="dxa"/>
              <w:left w:w="200" w:type="dxa"/>
              <w:bottom w:w="100" w:type="dxa"/>
              <w:right w:w="120" w:type="dxa"/>
            </w:tcMar>
          </w:tcPr>
          <w:p w14:paraId="486EBCA2" w14:textId="77777777" w:rsidR="00F9248A" w:rsidRDefault="00000000">
            <w:r>
              <w:rPr>
                <w:b/>
                <w:bCs/>
                <w:color w:val="007A6E"/>
                <w:spacing w:val="80"/>
                <w:sz w:val="17"/>
                <w:szCs w:val="17"/>
              </w:rPr>
              <w:lastRenderedPageBreak/>
              <w:t>SIGNAL</w:t>
            </w:r>
          </w:p>
        </w:tc>
        <w:tc>
          <w:tcPr>
            <w:tcW w:w="7360" w:type="dxa"/>
            <w:tcBorders>
              <w:bottom w:val="single" w:sz="1" w:space="0" w:color="DDDDDD"/>
            </w:tcBorders>
            <w:shd w:val="clear" w:color="auto" w:fill="FFFFFF"/>
            <w:tcMar>
              <w:top w:w="100" w:type="dxa"/>
              <w:left w:w="200" w:type="dxa"/>
              <w:bottom w:w="100" w:type="dxa"/>
              <w:right w:w="200" w:type="dxa"/>
            </w:tcMar>
          </w:tcPr>
          <w:p w14:paraId="5B4778FA" w14:textId="77777777" w:rsidR="00F9248A" w:rsidRDefault="00000000">
            <w:r>
              <w:t xml:space="preserve">User </w:t>
            </w:r>
            <w:proofErr w:type="spellStart"/>
            <w:r>
              <w:t>behavioral</w:t>
            </w:r>
            <w:proofErr w:type="spellEnd"/>
            <w:r>
              <w:t xml:space="preserve"> data reveals three distinct monetizable segments: (a) high-spend users — ₹1L+ monthly card spend, (b) high-frequency users — 20+ sessions/month with diverse feature touch, (c) high-credit users — CIBIL 800+ with clean repayment history.</w:t>
            </w:r>
          </w:p>
        </w:tc>
      </w:tr>
      <w:tr w:rsidR="00F9248A" w14:paraId="28093AB8" w14:textId="77777777">
        <w:tblPrEx>
          <w:tblCellMar>
            <w:top w:w="0" w:type="dxa"/>
            <w:bottom w:w="0" w:type="dxa"/>
          </w:tblCellMar>
        </w:tblPrEx>
        <w:tc>
          <w:tcPr>
            <w:tcW w:w="1600" w:type="dxa"/>
            <w:tcBorders>
              <w:bottom w:val="single" w:sz="1" w:space="0" w:color="DDDDDD"/>
            </w:tcBorders>
            <w:shd w:val="clear" w:color="auto" w:fill="EAF4F3"/>
            <w:tcMar>
              <w:top w:w="100" w:type="dxa"/>
              <w:left w:w="200" w:type="dxa"/>
              <w:bottom w:w="100" w:type="dxa"/>
              <w:right w:w="120" w:type="dxa"/>
            </w:tcMar>
          </w:tcPr>
          <w:p w14:paraId="6E5266EA" w14:textId="77777777" w:rsidR="00F9248A" w:rsidRDefault="00000000">
            <w:r>
              <w:rPr>
                <w:b/>
                <w:bCs/>
                <w:color w:val="007A6E"/>
                <w:spacing w:val="80"/>
                <w:sz w:val="17"/>
                <w:szCs w:val="17"/>
              </w:rPr>
              <w:t>TRIGGER</w:t>
            </w:r>
          </w:p>
        </w:tc>
        <w:tc>
          <w:tcPr>
            <w:tcW w:w="7360" w:type="dxa"/>
            <w:tcBorders>
              <w:bottom w:val="single" w:sz="1" w:space="0" w:color="DDDDDD"/>
            </w:tcBorders>
            <w:shd w:val="clear" w:color="auto" w:fill="FFFFFF"/>
            <w:tcMar>
              <w:top w:w="100" w:type="dxa"/>
              <w:left w:w="200" w:type="dxa"/>
              <w:bottom w:w="100" w:type="dxa"/>
              <w:right w:w="200" w:type="dxa"/>
            </w:tcMar>
          </w:tcPr>
          <w:p w14:paraId="6A43044F" w14:textId="77777777" w:rsidR="00F9248A" w:rsidRDefault="00000000">
            <w:r>
              <w:t>Each tier receives a differentiated monetization pathway: high-spend users receive premium credit products and structured investment options. High-frequency users receive engagement-linked financial rewards with monetization embedded. High-credit users receive differentiated loan terms, lower-rate insurance bundles, and wealth management entry points. Tier assignment is automatic and invisible — the user sees a personalized experience, not a tier label.</w:t>
            </w:r>
          </w:p>
        </w:tc>
      </w:tr>
      <w:tr w:rsidR="00F9248A" w14:paraId="28E17E51" w14:textId="77777777">
        <w:tblPrEx>
          <w:tblCellMar>
            <w:top w:w="0" w:type="dxa"/>
            <w:bottom w:w="0" w:type="dxa"/>
          </w:tblCellMar>
        </w:tblPrEx>
        <w:tc>
          <w:tcPr>
            <w:tcW w:w="1600" w:type="dxa"/>
            <w:tcBorders>
              <w:bottom w:val="single" w:sz="1" w:space="0" w:color="DDDDDD"/>
            </w:tcBorders>
            <w:shd w:val="clear" w:color="auto" w:fill="EAF4F3"/>
            <w:tcMar>
              <w:top w:w="100" w:type="dxa"/>
              <w:left w:w="200" w:type="dxa"/>
              <w:bottom w:w="100" w:type="dxa"/>
              <w:right w:w="120" w:type="dxa"/>
            </w:tcMar>
          </w:tcPr>
          <w:p w14:paraId="051E6D87" w14:textId="77777777" w:rsidR="00F9248A" w:rsidRDefault="00000000">
            <w:r>
              <w:rPr>
                <w:b/>
                <w:bCs/>
                <w:color w:val="007A6E"/>
                <w:spacing w:val="80"/>
                <w:sz w:val="17"/>
                <w:szCs w:val="17"/>
              </w:rPr>
              <w:t>UX GATE</w:t>
            </w:r>
          </w:p>
        </w:tc>
        <w:tc>
          <w:tcPr>
            <w:tcW w:w="7360" w:type="dxa"/>
            <w:tcBorders>
              <w:bottom w:val="single" w:sz="1" w:space="0" w:color="DDDDDD"/>
            </w:tcBorders>
            <w:shd w:val="clear" w:color="auto" w:fill="FFFFFF"/>
            <w:tcMar>
              <w:top w:w="100" w:type="dxa"/>
              <w:left w:w="200" w:type="dxa"/>
              <w:bottom w:w="100" w:type="dxa"/>
              <w:right w:w="200" w:type="dxa"/>
            </w:tcMar>
          </w:tcPr>
          <w:p w14:paraId="7B5C8EDC" w14:textId="65DC144F" w:rsidR="00F9248A" w:rsidRDefault="00000000">
            <w:r>
              <w:t>Personalization must not feel algorithmic. CRED</w:t>
            </w:r>
            <w:r w:rsidR="008D0C30">
              <w:t>’</w:t>
            </w:r>
            <w:r>
              <w:t>s brand equity depends on users feeling seen, not profiled. Each offer is framed in the user</w:t>
            </w:r>
            <w:r w:rsidR="008D0C30">
              <w:t>’</w:t>
            </w:r>
            <w:r>
              <w:t xml:space="preserve">s financial context. Avoid generic </w:t>
            </w:r>
            <w:r w:rsidR="008D0C30">
              <w:t>‘</w:t>
            </w:r>
            <w:r>
              <w:t>recommended for you</w:t>
            </w:r>
            <w:r w:rsidR="008D0C30">
              <w:t>’</w:t>
            </w:r>
            <w:r>
              <w:t xml:space="preserve"> language — use specific </w:t>
            </w:r>
            <w:proofErr w:type="spellStart"/>
            <w:r>
              <w:t>behavioral</w:t>
            </w:r>
            <w:proofErr w:type="spellEnd"/>
            <w:r>
              <w:t xml:space="preserve"> rationale: </w:t>
            </w:r>
            <w:r w:rsidR="008D0C30">
              <w:t>‘</w:t>
            </w:r>
            <w:r>
              <w:t>Based on your ₹X monthly spend, this credit line is sized for your actual needs.</w:t>
            </w:r>
            <w:r w:rsidR="008D0C30">
              <w:t>’</w:t>
            </w:r>
          </w:p>
        </w:tc>
      </w:tr>
      <w:tr w:rsidR="00F9248A" w14:paraId="4617E797" w14:textId="77777777">
        <w:tblPrEx>
          <w:tblCellMar>
            <w:top w:w="0" w:type="dxa"/>
            <w:bottom w:w="0" w:type="dxa"/>
          </w:tblCellMar>
        </w:tblPrEx>
        <w:tc>
          <w:tcPr>
            <w:tcW w:w="1600" w:type="dxa"/>
            <w:shd w:val="clear" w:color="auto" w:fill="EAF4F3"/>
            <w:tcMar>
              <w:top w:w="100" w:type="dxa"/>
              <w:left w:w="200" w:type="dxa"/>
              <w:bottom w:w="100" w:type="dxa"/>
              <w:right w:w="120" w:type="dxa"/>
            </w:tcMar>
          </w:tcPr>
          <w:p w14:paraId="6DB7AE95" w14:textId="77777777" w:rsidR="00F9248A" w:rsidRDefault="00000000">
            <w:r>
              <w:rPr>
                <w:b/>
                <w:bCs/>
                <w:color w:val="007A6E"/>
                <w:spacing w:val="80"/>
                <w:sz w:val="17"/>
                <w:szCs w:val="17"/>
              </w:rPr>
              <w:t>REVENUE OUTCOME</w:t>
            </w:r>
          </w:p>
        </w:tc>
        <w:tc>
          <w:tcPr>
            <w:tcW w:w="7360" w:type="dxa"/>
            <w:shd w:val="clear" w:color="auto" w:fill="FFFFFF"/>
            <w:tcMar>
              <w:top w:w="100" w:type="dxa"/>
              <w:left w:w="200" w:type="dxa"/>
              <w:bottom w:w="100" w:type="dxa"/>
              <w:right w:w="200" w:type="dxa"/>
            </w:tcMar>
          </w:tcPr>
          <w:p w14:paraId="3AB17D12" w14:textId="77777777" w:rsidR="00F9248A" w:rsidRDefault="00000000">
            <w:r>
              <w:t>Aligns revenue extraction with actual user capacity. The premium CIBIL ≥750 base begins generating premium ARPU instead of market-average returns. LTV uplift across top-tier users: significant. This fix converts the CIBIL filter from an acquisition tool into a monetization architecture.</w:t>
            </w:r>
          </w:p>
        </w:tc>
      </w:tr>
    </w:tbl>
    <w:p w14:paraId="1E1C73B5" w14:textId="77777777" w:rsidR="00F9248A" w:rsidRDefault="00F9248A">
      <w:pPr>
        <w:spacing w:before="1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140"/>
        <w:gridCol w:w="4220"/>
      </w:tblGrid>
      <w:tr w:rsidR="00F9248A" w14:paraId="5872292F" w14:textId="77777777">
        <w:tblPrEx>
          <w:tblCellMar>
            <w:top w:w="0" w:type="dxa"/>
            <w:bottom w:w="0" w:type="dxa"/>
          </w:tblCellMar>
        </w:tblPrEx>
        <w:trPr>
          <w:gridAfter w:val="1"/>
          <w:wAfter w:w="360" w:type="dxa"/>
        </w:trPr>
        <w:tc>
          <w:tcPr>
            <w:tcW w:w="9360" w:type="dxa"/>
            <w:tcBorders>
              <w:top w:val="single" w:sz="1" w:space="0" w:color="DDDDDD"/>
              <w:left w:val="single" w:sz="1" w:space="0" w:color="DDDDDD"/>
              <w:bottom w:val="single" w:sz="4" w:space="0" w:color="111111"/>
              <w:right w:val="single" w:sz="1" w:space="0" w:color="DDDDDD"/>
            </w:tcBorders>
            <w:shd w:val="clear" w:color="auto" w:fill="111111"/>
            <w:tcMar>
              <w:top w:w="160" w:type="dxa"/>
              <w:left w:w="280" w:type="dxa"/>
              <w:bottom w:w="160" w:type="dxa"/>
              <w:right w:w="280" w:type="dxa"/>
            </w:tcMar>
          </w:tcPr>
          <w:p w14:paraId="448FB727" w14:textId="77777777" w:rsidR="00F9248A" w:rsidRDefault="00000000">
            <w:r>
              <w:rPr>
                <w:b/>
                <w:bCs/>
                <w:color w:val="007A6E"/>
                <w:sz w:val="19"/>
                <w:szCs w:val="19"/>
              </w:rPr>
              <w:t xml:space="preserve">04  </w:t>
            </w:r>
            <w:r>
              <w:rPr>
                <w:b/>
                <w:bCs/>
                <w:color w:val="FFFFFF"/>
                <w:sz w:val="26"/>
                <w:szCs w:val="26"/>
              </w:rPr>
              <w:t>Unified Financial Journey Layer</w:t>
            </w:r>
          </w:p>
        </w:tc>
      </w:tr>
      <w:tr w:rsidR="00F9248A" w14:paraId="4C03B24C" w14:textId="77777777">
        <w:tblPrEx>
          <w:tblCellMar>
            <w:top w:w="0" w:type="dxa"/>
            <w:bottom w:w="0" w:type="dxa"/>
          </w:tblCellMar>
        </w:tblPrEx>
        <w:tc>
          <w:tcPr>
            <w:tcW w:w="1600" w:type="dxa"/>
            <w:tcBorders>
              <w:bottom w:val="single" w:sz="1" w:space="0" w:color="DDDDDD"/>
            </w:tcBorders>
            <w:shd w:val="clear" w:color="auto" w:fill="EAF4F3"/>
            <w:tcMar>
              <w:top w:w="100" w:type="dxa"/>
              <w:left w:w="200" w:type="dxa"/>
              <w:bottom w:w="100" w:type="dxa"/>
              <w:right w:w="120" w:type="dxa"/>
            </w:tcMar>
          </w:tcPr>
          <w:p w14:paraId="2EA2DDFF" w14:textId="77777777" w:rsidR="00F9248A" w:rsidRDefault="00000000">
            <w:r>
              <w:rPr>
                <w:b/>
                <w:bCs/>
                <w:color w:val="007A6E"/>
                <w:spacing w:val="80"/>
                <w:sz w:val="17"/>
                <w:szCs w:val="17"/>
              </w:rPr>
              <w:t>SIGNAL</w:t>
            </w:r>
          </w:p>
        </w:tc>
        <w:tc>
          <w:tcPr>
            <w:tcW w:w="7360" w:type="dxa"/>
            <w:tcBorders>
              <w:bottom w:val="single" w:sz="1" w:space="0" w:color="DDDDDD"/>
            </w:tcBorders>
            <w:shd w:val="clear" w:color="auto" w:fill="FFFFFF"/>
            <w:tcMar>
              <w:top w:w="100" w:type="dxa"/>
              <w:left w:w="200" w:type="dxa"/>
              <w:bottom w:w="100" w:type="dxa"/>
              <w:right w:w="200" w:type="dxa"/>
            </w:tcMar>
          </w:tcPr>
          <w:p w14:paraId="392B4505" w14:textId="77777777" w:rsidR="00F9248A" w:rsidRDefault="00000000">
            <w:r>
              <w:t>User has been active for 3+ months with consistent bill-pay behavior but zero secondary product interaction — indicating habit establishment without expansion. This is the highest-leverage intervention window.</w:t>
            </w:r>
          </w:p>
        </w:tc>
      </w:tr>
      <w:tr w:rsidR="00F9248A" w14:paraId="0872C591" w14:textId="77777777">
        <w:tblPrEx>
          <w:tblCellMar>
            <w:top w:w="0" w:type="dxa"/>
            <w:bottom w:w="0" w:type="dxa"/>
          </w:tblCellMar>
        </w:tblPrEx>
        <w:tc>
          <w:tcPr>
            <w:tcW w:w="1600" w:type="dxa"/>
            <w:tcBorders>
              <w:bottom w:val="single" w:sz="1" w:space="0" w:color="DDDDDD"/>
            </w:tcBorders>
            <w:shd w:val="clear" w:color="auto" w:fill="EAF4F3"/>
            <w:tcMar>
              <w:top w:w="100" w:type="dxa"/>
              <w:left w:w="200" w:type="dxa"/>
              <w:bottom w:w="100" w:type="dxa"/>
              <w:right w:w="120" w:type="dxa"/>
            </w:tcMar>
          </w:tcPr>
          <w:p w14:paraId="44DBF383" w14:textId="77777777" w:rsidR="00F9248A" w:rsidRDefault="00000000">
            <w:r>
              <w:rPr>
                <w:b/>
                <w:bCs/>
                <w:color w:val="007A6E"/>
                <w:spacing w:val="80"/>
                <w:sz w:val="17"/>
                <w:szCs w:val="17"/>
              </w:rPr>
              <w:t>TRIGGER</w:t>
            </w:r>
          </w:p>
        </w:tc>
        <w:tc>
          <w:tcPr>
            <w:tcW w:w="7360" w:type="dxa"/>
            <w:tcBorders>
              <w:bottom w:val="single" w:sz="1" w:space="0" w:color="DDDDDD"/>
            </w:tcBorders>
            <w:shd w:val="clear" w:color="auto" w:fill="FFFFFF"/>
            <w:tcMar>
              <w:top w:w="100" w:type="dxa"/>
              <w:left w:w="200" w:type="dxa"/>
              <w:bottom w:w="100" w:type="dxa"/>
              <w:right w:w="200" w:type="dxa"/>
            </w:tcMar>
          </w:tcPr>
          <w:p w14:paraId="4519C3A1" w14:textId="072D1404" w:rsidR="00F9248A" w:rsidRDefault="00000000">
            <w:r>
              <w:t>Central lifecycle dashboard surfaces the user</w:t>
            </w:r>
            <w:r w:rsidR="008D0C30">
              <w:t>’</w:t>
            </w:r>
            <w:r>
              <w:t xml:space="preserve">s financial position and the relevant next stage: Pay → Save → Borrow → Invest → Protect. Each stage displays </w:t>
            </w:r>
            <w:r>
              <w:lastRenderedPageBreak/>
              <w:t>the user</w:t>
            </w:r>
            <w:r w:rsidR="008D0C30">
              <w:t>’</w:t>
            </w:r>
            <w:r>
              <w:t>s current status and the gap to the next financial milestone. Products are no longer destinations to find — they are stages in a journey the system actively manages and makes visible.</w:t>
            </w:r>
          </w:p>
        </w:tc>
      </w:tr>
      <w:tr w:rsidR="00F9248A" w14:paraId="2663C269" w14:textId="77777777">
        <w:tblPrEx>
          <w:tblCellMar>
            <w:top w:w="0" w:type="dxa"/>
            <w:bottom w:w="0" w:type="dxa"/>
          </w:tblCellMar>
        </w:tblPrEx>
        <w:tc>
          <w:tcPr>
            <w:tcW w:w="1600" w:type="dxa"/>
            <w:tcBorders>
              <w:bottom w:val="single" w:sz="1" w:space="0" w:color="DDDDDD"/>
            </w:tcBorders>
            <w:shd w:val="clear" w:color="auto" w:fill="EAF4F3"/>
            <w:tcMar>
              <w:top w:w="100" w:type="dxa"/>
              <w:left w:w="200" w:type="dxa"/>
              <w:bottom w:w="100" w:type="dxa"/>
              <w:right w:w="120" w:type="dxa"/>
            </w:tcMar>
          </w:tcPr>
          <w:p w14:paraId="3612097E" w14:textId="77777777" w:rsidR="00F9248A" w:rsidRDefault="00000000">
            <w:r>
              <w:rPr>
                <w:b/>
                <w:bCs/>
                <w:color w:val="007A6E"/>
                <w:spacing w:val="80"/>
                <w:sz w:val="17"/>
                <w:szCs w:val="17"/>
              </w:rPr>
              <w:lastRenderedPageBreak/>
              <w:t>UX GATE</w:t>
            </w:r>
          </w:p>
        </w:tc>
        <w:tc>
          <w:tcPr>
            <w:tcW w:w="7360" w:type="dxa"/>
            <w:tcBorders>
              <w:bottom w:val="single" w:sz="1" w:space="0" w:color="DDDDDD"/>
            </w:tcBorders>
            <w:shd w:val="clear" w:color="auto" w:fill="FFFFFF"/>
            <w:tcMar>
              <w:top w:w="100" w:type="dxa"/>
              <w:left w:w="200" w:type="dxa"/>
              <w:bottom w:w="100" w:type="dxa"/>
              <w:right w:w="200" w:type="dxa"/>
            </w:tcMar>
          </w:tcPr>
          <w:p w14:paraId="6D02FAFE" w14:textId="62EB38FC" w:rsidR="00F9248A" w:rsidRDefault="00000000">
            <w:r>
              <w:t xml:space="preserve">Dashboard design must feel like a financial co-pilot, not a product menu. Avoid the </w:t>
            </w:r>
            <w:r w:rsidR="008D0C30">
              <w:t>‘</w:t>
            </w:r>
            <w:r>
              <w:t>app store</w:t>
            </w:r>
            <w:r w:rsidR="008D0C30">
              <w:t>’</w:t>
            </w:r>
            <w:r>
              <w:t xml:space="preserve"> aesthetic — each product should feel like a natural continuation of where the user already is. Progressive disclosure: show only the next relevant stage, not the entire lifecycle at once. Complexity is the enemy of adoption.</w:t>
            </w:r>
          </w:p>
        </w:tc>
      </w:tr>
      <w:tr w:rsidR="00F9248A" w14:paraId="6C4E4B16" w14:textId="77777777">
        <w:tblPrEx>
          <w:tblCellMar>
            <w:top w:w="0" w:type="dxa"/>
            <w:bottom w:w="0" w:type="dxa"/>
          </w:tblCellMar>
        </w:tblPrEx>
        <w:tc>
          <w:tcPr>
            <w:tcW w:w="1600" w:type="dxa"/>
            <w:shd w:val="clear" w:color="auto" w:fill="EAF4F3"/>
            <w:tcMar>
              <w:top w:w="100" w:type="dxa"/>
              <w:left w:w="200" w:type="dxa"/>
              <w:bottom w:w="100" w:type="dxa"/>
              <w:right w:w="120" w:type="dxa"/>
            </w:tcMar>
          </w:tcPr>
          <w:p w14:paraId="5C25EB6B" w14:textId="77777777" w:rsidR="00F9248A" w:rsidRDefault="00000000">
            <w:r>
              <w:rPr>
                <w:b/>
                <w:bCs/>
                <w:color w:val="007A6E"/>
                <w:spacing w:val="80"/>
                <w:sz w:val="17"/>
                <w:szCs w:val="17"/>
              </w:rPr>
              <w:t>REVENUE OUTCOME</w:t>
            </w:r>
          </w:p>
        </w:tc>
        <w:tc>
          <w:tcPr>
            <w:tcW w:w="7360" w:type="dxa"/>
            <w:shd w:val="clear" w:color="auto" w:fill="FFFFFF"/>
            <w:tcMar>
              <w:top w:w="100" w:type="dxa"/>
              <w:left w:w="200" w:type="dxa"/>
              <w:bottom w:w="100" w:type="dxa"/>
              <w:right w:w="200" w:type="dxa"/>
            </w:tcMar>
          </w:tcPr>
          <w:p w14:paraId="35C54755" w14:textId="77777777" w:rsidR="00F9248A" w:rsidRDefault="00000000">
            <w:r>
              <w:t>Increases product adoption by reducing the distance between user intent and product access. Higher cross-sell conversion. Stronger retention across the full product stack, not just bill-pay. Builds the multi-product dependency that turns CRED from a utility into a platform.</w:t>
            </w:r>
          </w:p>
        </w:tc>
      </w:tr>
    </w:tbl>
    <w:p w14:paraId="12A38893" w14:textId="77777777" w:rsidR="00F9248A" w:rsidRDefault="00F9248A">
      <w:pPr>
        <w:spacing w:before="100"/>
      </w:pPr>
    </w:p>
    <w:p w14:paraId="26BB335D" w14:textId="77777777" w:rsidR="00F9248A" w:rsidRDefault="00F9248A">
      <w:pPr>
        <w:spacing w:before="100"/>
      </w:pPr>
    </w:p>
    <w:p w14:paraId="76AE46F5" w14:textId="77777777" w:rsidR="00F9248A" w:rsidRDefault="00000000">
      <w:pPr>
        <w:spacing w:before="160" w:after="60"/>
      </w:pPr>
      <w:r>
        <w:rPr>
          <w:b/>
          <w:bCs/>
          <w:color w:val="888888"/>
          <w:spacing w:val="100"/>
          <w:sz w:val="17"/>
          <w:szCs w:val="17"/>
        </w:rPr>
        <w:t>FIGURE 04  ·  FROM DISCONNECTED ECOSYSTEM TO CONNECTED FINANCIAL ECOSYSTEM</w:t>
      </w:r>
    </w:p>
    <w:p w14:paraId="3476B267" w14:textId="49108142" w:rsidR="00F9248A" w:rsidRDefault="008D0C30" w:rsidP="008D0C30">
      <w:pPr>
        <w:spacing w:before="240"/>
        <w:jc w:val="center"/>
      </w:pPr>
      <w:r>
        <w:rPr>
          <w:noProof/>
        </w:rPr>
        <w:drawing>
          <wp:inline distT="0" distB="0" distL="0" distR="0" wp14:anchorId="193BAC5A" wp14:editId="214FB756">
            <wp:extent cx="4495800" cy="2466975"/>
            <wp:effectExtent l="0" t="0" r="0" b="0"/>
            <wp:docPr id="668540774" name="Picture 66854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495800" cy="2466975"/>
                    </a:xfrm>
                    <a:prstGeom prst="rect">
                      <a:avLst/>
                    </a:prstGeom>
                  </pic:spPr>
                </pic:pic>
              </a:graphicData>
            </a:graphic>
          </wp:inline>
        </w:drawing>
      </w:r>
    </w:p>
    <w:p w14:paraId="4FFDB3BB" w14:textId="4BC2AB63" w:rsidR="008D0C30" w:rsidRDefault="008D0C30" w:rsidP="008D0C30">
      <w:pPr>
        <w:spacing w:before="240"/>
        <w:jc w:val="center"/>
      </w:pPr>
      <w:r>
        <w:rPr>
          <w:color w:val="6B7280"/>
          <w:sz w:val="18"/>
          <w:szCs w:val="18"/>
        </w:rPr>
        <w:t>Left: ~58% of users stuck at bill-pay with passive discovery. Right: unified lifecycle journey with guided expansion increasing LTV per user.</w:t>
      </w:r>
    </w:p>
    <w:p w14:paraId="48A6EB50" w14:textId="77777777" w:rsidR="00F9248A" w:rsidRDefault="00000000">
      <w:r>
        <w:br w:type="page"/>
      </w:r>
    </w:p>
    <w:p w14:paraId="469E4A5B" w14:textId="77777777" w:rsidR="00F9248A" w:rsidRDefault="00000000">
      <w:pPr>
        <w:spacing w:before="360" w:after="80"/>
      </w:pPr>
      <w:r>
        <w:rPr>
          <w:b/>
          <w:bCs/>
          <w:color w:val="007A6E"/>
          <w:spacing w:val="180"/>
          <w:sz w:val="17"/>
          <w:szCs w:val="17"/>
        </w:rPr>
        <w:lastRenderedPageBreak/>
        <w:t>07 / REVENUE IMPACT</w:t>
      </w:r>
    </w:p>
    <w:p w14:paraId="41976D49" w14:textId="77777777" w:rsidR="00F9248A" w:rsidRDefault="00000000">
      <w:pPr>
        <w:spacing w:before="60" w:after="180"/>
      </w:pPr>
      <w:r>
        <w:rPr>
          <w:b/>
          <w:bCs/>
          <w:color w:val="0A0A0A"/>
          <w:sz w:val="52"/>
          <w:szCs w:val="52"/>
        </w:rPr>
        <w:t>What This Redesign Unlocks: ₹265 Cr – ₹865 Cr ARR</w:t>
      </w:r>
    </w:p>
    <w:p w14:paraId="69485665" w14:textId="77777777" w:rsidR="00F9248A" w:rsidRDefault="00000000">
      <w:pPr>
        <w:spacing w:before="80" w:after="80"/>
      </w:pPr>
      <w:r>
        <w:t xml:space="preserve">These scenarios are not aspirational — they are derived from the </w:t>
      </w:r>
      <w:proofErr w:type="spellStart"/>
      <w:r>
        <w:t>behavioral</w:t>
      </w:r>
      <w:proofErr w:type="spellEnd"/>
      <w:r>
        <w:t xml:space="preserve"> logic of the system changes above, applied to CRED's current numbers. The math is conservative by design.</w:t>
      </w:r>
    </w:p>
    <w:p w14:paraId="17274878" w14:textId="77777777" w:rsidR="00F9248A" w:rsidRDefault="00F9248A">
      <w:pPr>
        <w:spacing w:before="140"/>
      </w:pPr>
    </w:p>
    <w:p w14:paraId="5913ED06" w14:textId="77777777" w:rsidR="00F9248A" w:rsidRDefault="00000000">
      <w:pPr>
        <w:spacing w:before="160" w:after="60"/>
      </w:pPr>
      <w:r>
        <w:rPr>
          <w:b/>
          <w:bCs/>
          <w:color w:val="888888"/>
          <w:spacing w:val="100"/>
          <w:sz w:val="17"/>
          <w:szCs w:val="17"/>
        </w:rPr>
        <w:t>FIGURE 05  ·  REVENUE POTENTIAL SCENARIOS FOR CRED</w:t>
      </w:r>
    </w:p>
    <w:p w14:paraId="1E7E65FB" w14:textId="721B1E47" w:rsidR="008D0C30" w:rsidRDefault="008D0C30" w:rsidP="008D0C30">
      <w:pPr>
        <w:spacing w:before="140"/>
        <w:jc w:val="center"/>
      </w:pPr>
      <w:r>
        <w:rPr>
          <w:noProof/>
        </w:rPr>
        <w:drawing>
          <wp:inline distT="0" distB="0" distL="0" distR="0" wp14:anchorId="6F99497A" wp14:editId="66A4CECB">
            <wp:extent cx="4495800" cy="3000375"/>
            <wp:effectExtent l="0" t="0" r="0" b="0"/>
            <wp:docPr id="1800831013" name="Picture 180083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4495800" cy="3000375"/>
                    </a:xfrm>
                    <a:prstGeom prst="rect">
                      <a:avLst/>
                    </a:prstGeom>
                  </pic:spPr>
                </pic:pic>
              </a:graphicData>
            </a:graphic>
          </wp:inline>
        </w:drawing>
      </w:r>
    </w:p>
    <w:p w14:paraId="6A92A72D" w14:textId="298EB4CC" w:rsidR="008D0C30" w:rsidRDefault="008D0C30" w:rsidP="008D0C30">
      <w:pPr>
        <w:spacing w:after="160"/>
        <w:jc w:val="center"/>
      </w:pPr>
      <w:r>
        <w:rPr>
          <w:color w:val="6B7280"/>
          <w:sz w:val="18"/>
          <w:szCs w:val="18"/>
        </w:rPr>
        <w:t>Revenue growth driven by cross-sell efficiency and monetization system redesign — not new user acquisition.</w:t>
      </w:r>
    </w:p>
    <w:p w14:paraId="67126483" w14:textId="77777777" w:rsidR="008D0C30" w:rsidRDefault="008D0C30" w:rsidP="008D0C30">
      <w:pPr>
        <w:spacing w:before="140"/>
        <w:jc w:val="cente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40"/>
        <w:gridCol w:w="2340"/>
        <w:gridCol w:w="2340"/>
        <w:gridCol w:w="2340"/>
      </w:tblGrid>
      <w:tr w:rsidR="00F9248A" w14:paraId="02FBD2EE" w14:textId="77777777">
        <w:tblPrEx>
          <w:tblCellMar>
            <w:top w:w="0" w:type="dxa"/>
            <w:bottom w:w="0" w:type="dxa"/>
          </w:tblCellMar>
        </w:tblPrEx>
        <w:tc>
          <w:tcPr>
            <w:tcW w:w="2340" w:type="dxa"/>
            <w:tcBorders>
              <w:bottom w:val="single" w:sz="4" w:space="0" w:color="111111"/>
            </w:tcBorders>
            <w:shd w:val="clear" w:color="auto" w:fill="111111"/>
            <w:tcMar>
              <w:top w:w="100" w:type="dxa"/>
              <w:left w:w="160" w:type="dxa"/>
              <w:bottom w:w="100" w:type="dxa"/>
              <w:right w:w="160" w:type="dxa"/>
            </w:tcMar>
          </w:tcPr>
          <w:p w14:paraId="657D806D" w14:textId="77777777" w:rsidR="00F9248A" w:rsidRDefault="00000000">
            <w:r>
              <w:rPr>
                <w:b/>
                <w:bCs/>
                <w:color w:val="FFFFFF"/>
                <w:sz w:val="19"/>
                <w:szCs w:val="19"/>
              </w:rPr>
              <w:t>Scenario</w:t>
            </w:r>
          </w:p>
        </w:tc>
        <w:tc>
          <w:tcPr>
            <w:tcW w:w="2340" w:type="dxa"/>
            <w:tcBorders>
              <w:bottom w:val="single" w:sz="4" w:space="0" w:color="111111"/>
            </w:tcBorders>
            <w:shd w:val="clear" w:color="auto" w:fill="111111"/>
            <w:tcMar>
              <w:top w:w="100" w:type="dxa"/>
              <w:left w:w="160" w:type="dxa"/>
              <w:bottom w:w="100" w:type="dxa"/>
              <w:right w:w="160" w:type="dxa"/>
            </w:tcMar>
          </w:tcPr>
          <w:p w14:paraId="1AB4B330" w14:textId="77777777" w:rsidR="00F9248A" w:rsidRDefault="00000000">
            <w:r>
              <w:rPr>
                <w:b/>
                <w:bCs/>
                <w:color w:val="FFFFFF"/>
                <w:sz w:val="19"/>
                <w:szCs w:val="19"/>
              </w:rPr>
              <w:t>ARPU Uplift</w:t>
            </w:r>
          </w:p>
        </w:tc>
        <w:tc>
          <w:tcPr>
            <w:tcW w:w="2340" w:type="dxa"/>
            <w:tcBorders>
              <w:bottom w:val="single" w:sz="4" w:space="0" w:color="111111"/>
            </w:tcBorders>
            <w:shd w:val="clear" w:color="auto" w:fill="111111"/>
            <w:tcMar>
              <w:top w:w="100" w:type="dxa"/>
              <w:left w:w="160" w:type="dxa"/>
              <w:bottom w:w="100" w:type="dxa"/>
              <w:right w:w="160" w:type="dxa"/>
            </w:tcMar>
          </w:tcPr>
          <w:p w14:paraId="214AE6E5" w14:textId="77777777" w:rsidR="00F9248A" w:rsidRDefault="00000000">
            <w:r>
              <w:rPr>
                <w:b/>
                <w:bCs/>
                <w:color w:val="FFFFFF"/>
                <w:sz w:val="19"/>
                <w:szCs w:val="19"/>
              </w:rPr>
              <w:t>Multi-Product Shift</w:t>
            </w:r>
          </w:p>
        </w:tc>
        <w:tc>
          <w:tcPr>
            <w:tcW w:w="2340" w:type="dxa"/>
            <w:tcBorders>
              <w:bottom w:val="single" w:sz="4" w:space="0" w:color="111111"/>
            </w:tcBorders>
            <w:shd w:val="clear" w:color="auto" w:fill="111111"/>
            <w:tcMar>
              <w:top w:w="100" w:type="dxa"/>
              <w:left w:w="160" w:type="dxa"/>
              <w:bottom w:w="100" w:type="dxa"/>
              <w:right w:w="160" w:type="dxa"/>
            </w:tcMar>
          </w:tcPr>
          <w:p w14:paraId="5188AA58" w14:textId="77777777" w:rsidR="00F9248A" w:rsidRDefault="00000000">
            <w:r>
              <w:rPr>
                <w:b/>
                <w:bCs/>
                <w:color w:val="FFFFFF"/>
                <w:sz w:val="19"/>
                <w:szCs w:val="19"/>
              </w:rPr>
              <w:t>Incremental Revenue</w:t>
            </w:r>
          </w:p>
        </w:tc>
      </w:tr>
      <w:tr w:rsidR="00F9248A" w14:paraId="3C397830" w14:textId="77777777">
        <w:tblPrEx>
          <w:tblCellMar>
            <w:top w:w="0" w:type="dxa"/>
            <w:bottom w:w="0" w:type="dxa"/>
          </w:tblCellMar>
        </w:tblPrEx>
        <w:tc>
          <w:tcPr>
            <w:tcW w:w="2340" w:type="dxa"/>
            <w:tcBorders>
              <w:bottom w:val="single" w:sz="1" w:space="0" w:color="DDDDDD"/>
            </w:tcBorders>
            <w:shd w:val="clear" w:color="auto" w:fill="F5F5F5"/>
            <w:tcMar>
              <w:top w:w="100" w:type="dxa"/>
              <w:left w:w="160" w:type="dxa"/>
              <w:bottom w:w="100" w:type="dxa"/>
              <w:right w:w="160" w:type="dxa"/>
            </w:tcMar>
          </w:tcPr>
          <w:p w14:paraId="11D7A997" w14:textId="77777777" w:rsidR="00F9248A" w:rsidRDefault="00000000">
            <w:r>
              <w:t>Conservative</w:t>
            </w:r>
          </w:p>
        </w:tc>
        <w:tc>
          <w:tcPr>
            <w:tcW w:w="2340" w:type="dxa"/>
            <w:tcBorders>
              <w:bottom w:val="single" w:sz="1" w:space="0" w:color="DDDDDD"/>
            </w:tcBorders>
            <w:shd w:val="clear" w:color="auto" w:fill="F5F5F5"/>
            <w:tcMar>
              <w:top w:w="100" w:type="dxa"/>
              <w:left w:w="160" w:type="dxa"/>
              <w:bottom w:w="100" w:type="dxa"/>
              <w:right w:w="160" w:type="dxa"/>
            </w:tcMar>
          </w:tcPr>
          <w:p w14:paraId="1991B105" w14:textId="77777777" w:rsidR="00F9248A" w:rsidRDefault="00000000">
            <w:r>
              <w:t>+8–12%</w:t>
            </w:r>
          </w:p>
        </w:tc>
        <w:tc>
          <w:tcPr>
            <w:tcW w:w="2340" w:type="dxa"/>
            <w:tcBorders>
              <w:bottom w:val="single" w:sz="1" w:space="0" w:color="DDDDDD"/>
            </w:tcBorders>
            <w:shd w:val="clear" w:color="auto" w:fill="F5F5F5"/>
            <w:tcMar>
              <w:top w:w="100" w:type="dxa"/>
              <w:left w:w="160" w:type="dxa"/>
              <w:bottom w:w="100" w:type="dxa"/>
              <w:right w:w="160" w:type="dxa"/>
            </w:tcMar>
          </w:tcPr>
          <w:p w14:paraId="0540C8EA" w14:textId="77777777" w:rsidR="00F9248A" w:rsidRDefault="00000000">
            <w:r>
              <w:t>+5% users to 3+ products</w:t>
            </w:r>
          </w:p>
        </w:tc>
        <w:tc>
          <w:tcPr>
            <w:tcW w:w="2340" w:type="dxa"/>
            <w:tcBorders>
              <w:bottom w:val="single" w:sz="1" w:space="0" w:color="DDDDDD"/>
            </w:tcBorders>
            <w:shd w:val="clear" w:color="auto" w:fill="F5F5F5"/>
            <w:tcMar>
              <w:top w:w="100" w:type="dxa"/>
              <w:left w:w="160" w:type="dxa"/>
              <w:bottom w:w="100" w:type="dxa"/>
              <w:right w:w="160" w:type="dxa"/>
            </w:tcMar>
          </w:tcPr>
          <w:p w14:paraId="2168600C" w14:textId="77777777" w:rsidR="00F9248A" w:rsidRDefault="00000000">
            <w:r>
              <w:rPr>
                <w:b/>
                <w:bCs/>
                <w:color w:val="005A51"/>
              </w:rPr>
              <w:t>₹200–350 Cr/year</w:t>
            </w:r>
          </w:p>
        </w:tc>
      </w:tr>
      <w:tr w:rsidR="00F9248A" w14:paraId="2421C6B8" w14:textId="77777777">
        <w:tblPrEx>
          <w:tblCellMar>
            <w:top w:w="0" w:type="dxa"/>
            <w:bottom w:w="0" w:type="dxa"/>
          </w:tblCellMar>
        </w:tblPrEx>
        <w:tc>
          <w:tcPr>
            <w:tcW w:w="2340" w:type="dxa"/>
            <w:tcBorders>
              <w:bottom w:val="single" w:sz="1" w:space="0" w:color="DDDDDD"/>
            </w:tcBorders>
            <w:shd w:val="clear" w:color="auto" w:fill="FFFFFF"/>
            <w:tcMar>
              <w:top w:w="100" w:type="dxa"/>
              <w:left w:w="160" w:type="dxa"/>
              <w:bottom w:w="100" w:type="dxa"/>
              <w:right w:w="160" w:type="dxa"/>
            </w:tcMar>
          </w:tcPr>
          <w:p w14:paraId="03C49C63" w14:textId="77777777" w:rsidR="00F9248A" w:rsidRDefault="00000000">
            <w:r>
              <w:t>Moderate</w:t>
            </w:r>
          </w:p>
        </w:tc>
        <w:tc>
          <w:tcPr>
            <w:tcW w:w="2340" w:type="dxa"/>
            <w:tcBorders>
              <w:bottom w:val="single" w:sz="1" w:space="0" w:color="DDDDDD"/>
            </w:tcBorders>
            <w:shd w:val="clear" w:color="auto" w:fill="FFFFFF"/>
            <w:tcMar>
              <w:top w:w="100" w:type="dxa"/>
              <w:left w:w="160" w:type="dxa"/>
              <w:bottom w:w="100" w:type="dxa"/>
              <w:right w:w="160" w:type="dxa"/>
            </w:tcMar>
          </w:tcPr>
          <w:p w14:paraId="28B0385D" w14:textId="77777777" w:rsidR="00F9248A" w:rsidRDefault="00000000">
            <w:r>
              <w:t>+15–20%</w:t>
            </w:r>
          </w:p>
        </w:tc>
        <w:tc>
          <w:tcPr>
            <w:tcW w:w="2340" w:type="dxa"/>
            <w:tcBorders>
              <w:bottom w:val="single" w:sz="1" w:space="0" w:color="DDDDDD"/>
            </w:tcBorders>
            <w:shd w:val="clear" w:color="auto" w:fill="FFFFFF"/>
            <w:tcMar>
              <w:top w:w="100" w:type="dxa"/>
              <w:left w:w="160" w:type="dxa"/>
              <w:bottom w:w="100" w:type="dxa"/>
              <w:right w:w="160" w:type="dxa"/>
            </w:tcMar>
          </w:tcPr>
          <w:p w14:paraId="0B6F1CAF" w14:textId="77777777" w:rsidR="00F9248A" w:rsidRDefault="00000000">
            <w:r>
              <w:t>+10% users to 3+ products</w:t>
            </w:r>
          </w:p>
        </w:tc>
        <w:tc>
          <w:tcPr>
            <w:tcW w:w="2340" w:type="dxa"/>
            <w:tcBorders>
              <w:bottom w:val="single" w:sz="1" w:space="0" w:color="DDDDDD"/>
            </w:tcBorders>
            <w:shd w:val="clear" w:color="auto" w:fill="FFFFFF"/>
            <w:tcMar>
              <w:top w:w="100" w:type="dxa"/>
              <w:left w:w="160" w:type="dxa"/>
              <w:bottom w:w="100" w:type="dxa"/>
              <w:right w:w="160" w:type="dxa"/>
            </w:tcMar>
          </w:tcPr>
          <w:p w14:paraId="40AC1155" w14:textId="77777777" w:rsidR="00F9248A" w:rsidRDefault="00000000">
            <w:r>
              <w:rPr>
                <w:b/>
                <w:bCs/>
                <w:color w:val="005A51"/>
              </w:rPr>
              <w:t>₹400–550 Cr/year</w:t>
            </w:r>
          </w:p>
        </w:tc>
      </w:tr>
      <w:tr w:rsidR="00F9248A" w14:paraId="2B63BA9C" w14:textId="77777777">
        <w:tblPrEx>
          <w:tblCellMar>
            <w:top w:w="0" w:type="dxa"/>
            <w:bottom w:w="0" w:type="dxa"/>
          </w:tblCellMar>
        </w:tblPrEx>
        <w:tc>
          <w:tcPr>
            <w:tcW w:w="2340" w:type="dxa"/>
            <w:tcBorders>
              <w:bottom w:val="single" w:sz="1" w:space="0" w:color="DDDDDD"/>
            </w:tcBorders>
            <w:shd w:val="clear" w:color="auto" w:fill="F5F5F5"/>
            <w:tcMar>
              <w:top w:w="100" w:type="dxa"/>
              <w:left w:w="160" w:type="dxa"/>
              <w:bottom w:w="100" w:type="dxa"/>
              <w:right w:w="160" w:type="dxa"/>
            </w:tcMar>
          </w:tcPr>
          <w:p w14:paraId="3ED13658" w14:textId="77777777" w:rsidR="00F9248A" w:rsidRDefault="00000000">
            <w:r>
              <w:t>Aggressive</w:t>
            </w:r>
          </w:p>
        </w:tc>
        <w:tc>
          <w:tcPr>
            <w:tcW w:w="2340" w:type="dxa"/>
            <w:tcBorders>
              <w:bottom w:val="single" w:sz="1" w:space="0" w:color="DDDDDD"/>
            </w:tcBorders>
            <w:shd w:val="clear" w:color="auto" w:fill="F5F5F5"/>
            <w:tcMar>
              <w:top w:w="100" w:type="dxa"/>
              <w:left w:w="160" w:type="dxa"/>
              <w:bottom w:w="100" w:type="dxa"/>
              <w:right w:w="160" w:type="dxa"/>
            </w:tcMar>
          </w:tcPr>
          <w:p w14:paraId="7B1E9BF7" w14:textId="77777777" w:rsidR="00F9248A" w:rsidRDefault="00000000">
            <w:r>
              <w:t>+25–35%</w:t>
            </w:r>
          </w:p>
        </w:tc>
        <w:tc>
          <w:tcPr>
            <w:tcW w:w="2340" w:type="dxa"/>
            <w:tcBorders>
              <w:bottom w:val="single" w:sz="1" w:space="0" w:color="DDDDDD"/>
            </w:tcBorders>
            <w:shd w:val="clear" w:color="auto" w:fill="F5F5F5"/>
            <w:tcMar>
              <w:top w:w="100" w:type="dxa"/>
              <w:left w:w="160" w:type="dxa"/>
              <w:bottom w:w="100" w:type="dxa"/>
              <w:right w:w="160" w:type="dxa"/>
            </w:tcMar>
          </w:tcPr>
          <w:p w14:paraId="6052564E" w14:textId="77777777" w:rsidR="00F9248A" w:rsidRDefault="00000000">
            <w:r>
              <w:t>Full expansion system live</w:t>
            </w:r>
          </w:p>
        </w:tc>
        <w:tc>
          <w:tcPr>
            <w:tcW w:w="2340" w:type="dxa"/>
            <w:tcBorders>
              <w:bottom w:val="single" w:sz="1" w:space="0" w:color="DDDDDD"/>
            </w:tcBorders>
            <w:shd w:val="clear" w:color="auto" w:fill="F5F5F5"/>
            <w:tcMar>
              <w:top w:w="100" w:type="dxa"/>
              <w:left w:w="160" w:type="dxa"/>
              <w:bottom w:w="100" w:type="dxa"/>
              <w:right w:w="160" w:type="dxa"/>
            </w:tcMar>
          </w:tcPr>
          <w:p w14:paraId="51C5C6AD" w14:textId="77777777" w:rsidR="00F9248A" w:rsidRDefault="00000000">
            <w:r>
              <w:rPr>
                <w:b/>
                <w:bCs/>
                <w:color w:val="005A51"/>
              </w:rPr>
              <w:t>₹700–950 Cr/year</w:t>
            </w:r>
          </w:p>
        </w:tc>
      </w:tr>
    </w:tbl>
    <w:p w14:paraId="2BFAAB65" w14:textId="77777777" w:rsidR="00F9248A" w:rsidRDefault="00F9248A">
      <w:pPr>
        <w:spacing w:before="140"/>
      </w:pPr>
    </w:p>
    <w:p w14:paraId="4A8E086C" w14:textId="77777777" w:rsidR="00F9248A" w:rsidRDefault="00000000">
      <w:pPr>
        <w:spacing w:before="80" w:after="80"/>
      </w:pPr>
      <w:r>
        <w:t>The logic is straightforward and the numbers are conservative. Multi-product users generate 1.5–2x ARPU compared to single-product users. CRED currently has 55% of its active base on 1–2 products. A 5-point shift in that ratio — from 45% to 50% on 3+ products — unlocks ₹80–130 Cr in incremental annual revenue without a single new user acquired.</w:t>
      </w:r>
    </w:p>
    <w:p w14:paraId="45E6030E" w14:textId="77777777" w:rsidR="00F9248A" w:rsidRDefault="00F9248A">
      <w:pPr>
        <w:spacing w:before="80"/>
      </w:pPr>
    </w:p>
    <w:p w14:paraId="2410188A" w14:textId="77777777" w:rsidR="00F9248A" w:rsidRDefault="00000000">
      <w:pPr>
        <w:spacing w:before="80" w:after="80"/>
      </w:pPr>
      <w:r>
        <w:t xml:space="preserve">Contextual monetization triggers add a second layer: improving conversion timing at high-intent </w:t>
      </w:r>
      <w:proofErr w:type="spellStart"/>
      <w:r>
        <w:t>behavioral</w:t>
      </w:r>
      <w:proofErr w:type="spellEnd"/>
      <w:r>
        <w:t xml:space="preserve"> moments by even 10–20% generates ₹130–220 Cr/year. Combined with the unified financial journey </w:t>
      </w:r>
      <w:r>
        <w:lastRenderedPageBreak/>
        <w:t>increasing product adoption rates across the existing base, the system redesign has the potential to unlock ₹265 Cr–₹865 Cr in additional annual revenue — entirely from the user base CRED already has.</w:t>
      </w:r>
    </w:p>
    <w:p w14:paraId="188A218E" w14:textId="77777777" w:rsidR="00F9248A" w:rsidRDefault="00F9248A">
      <w:pPr>
        <w:spacing w:before="80"/>
      </w:pPr>
    </w:p>
    <w:p w14:paraId="0635F9A4" w14:textId="77777777" w:rsidR="00F9248A" w:rsidRDefault="00000000">
      <w:pPr>
        <w:spacing w:before="80" w:after="80"/>
      </w:pPr>
      <w:r>
        <w:rPr>
          <w:i/>
          <w:iCs/>
          <w:color w:val="888888"/>
        </w:rPr>
        <w:t>Directional estimates based on modeled scenarios using publicly available CRED financials, user behavior data, and industry benchmarks. Actual impact dependent on execution, product adoption curves, and market conditions.</w:t>
      </w:r>
    </w:p>
    <w:p w14:paraId="5FB6ACC4" w14:textId="77777777" w:rsidR="00F9248A" w:rsidRDefault="00F9248A">
      <w:pPr>
        <w:spacing w:before="240"/>
      </w:pPr>
    </w:p>
    <w:p w14:paraId="7E0ED123" w14:textId="77777777" w:rsidR="00F9248A" w:rsidRDefault="00000000">
      <w:r>
        <w:br w:type="page"/>
      </w:r>
    </w:p>
    <w:p w14:paraId="197A282C" w14:textId="77777777" w:rsidR="00F9248A" w:rsidRDefault="00000000">
      <w:pPr>
        <w:spacing w:before="360" w:after="80"/>
      </w:pPr>
      <w:r>
        <w:rPr>
          <w:b/>
          <w:bCs/>
          <w:color w:val="007A6E"/>
          <w:spacing w:val="180"/>
          <w:sz w:val="17"/>
          <w:szCs w:val="17"/>
        </w:rPr>
        <w:lastRenderedPageBreak/>
        <w:t>08 / CLOSING INSIGHT</w:t>
      </w:r>
    </w:p>
    <w:p w14:paraId="7E63EE95" w14:textId="77777777" w:rsidR="00F9248A" w:rsidRDefault="00000000">
      <w:pPr>
        <w:spacing w:before="60" w:after="180"/>
      </w:pPr>
      <w:r>
        <w:rPr>
          <w:b/>
          <w:bCs/>
          <w:color w:val="0A0A0A"/>
          <w:sz w:val="52"/>
          <w:szCs w:val="52"/>
        </w:rPr>
        <w:t>CRED Does Not Need More Users. It Needs to Monetize the Ones It Has.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9248A" w14:paraId="3FDFFD61" w14:textId="77777777">
        <w:tblPrEx>
          <w:tblCellMar>
            <w:top w:w="0" w:type="dxa"/>
            <w:bottom w:w="0" w:type="dxa"/>
          </w:tblCellMar>
        </w:tblPrEx>
        <w:tc>
          <w:tcPr>
            <w:tcW w:w="9360" w:type="dxa"/>
            <w:shd w:val="clear" w:color="auto" w:fill="111111"/>
            <w:tcMar>
              <w:top w:w="340" w:type="dxa"/>
              <w:left w:w="400" w:type="dxa"/>
              <w:bottom w:w="340" w:type="dxa"/>
              <w:right w:w="400" w:type="dxa"/>
            </w:tcMar>
          </w:tcPr>
          <w:p w14:paraId="5AC4B8B9" w14:textId="77777777" w:rsidR="00F9248A" w:rsidRDefault="00000000">
            <w:pPr>
              <w:spacing w:after="100"/>
            </w:pPr>
            <w:r>
              <w:rPr>
                <w:b/>
                <w:bCs/>
                <w:color w:val="FFFFFF"/>
                <w:sz w:val="32"/>
                <w:szCs w:val="32"/>
              </w:rPr>
              <w:t>This is not a growth problem.</w:t>
            </w:r>
          </w:p>
          <w:p w14:paraId="47EF6EF1" w14:textId="77777777" w:rsidR="00F9248A" w:rsidRDefault="00000000">
            <w:pPr>
              <w:spacing w:after="160"/>
            </w:pPr>
            <w:r>
              <w:rPr>
                <w:color w:val="888888"/>
                <w:sz w:val="26"/>
                <w:szCs w:val="26"/>
              </w:rPr>
              <w:t>CRED's user pool is deliberately constrained — the CIBIL threshold is not a bug, it is the product's entire value proposition. Chasing volume at the cost of user quality would destroy the platform's primary competitive moat.</w:t>
            </w:r>
          </w:p>
          <w:p w14:paraId="477FF64E" w14:textId="77777777" w:rsidR="00F9248A" w:rsidRDefault="00000000">
            <w:pPr>
              <w:spacing w:after="160"/>
            </w:pPr>
            <w:r>
              <w:rPr>
                <w:b/>
                <w:bCs/>
                <w:color w:val="007A6E"/>
                <w:sz w:val="26"/>
                <w:szCs w:val="26"/>
              </w:rPr>
              <w:t>Every week without an engagement-to-monetization conversion layer, CRED leaves revenue in accounts that are already engaged, already qualified, and already returning.</w:t>
            </w:r>
          </w:p>
          <w:p w14:paraId="1318F79D" w14:textId="77777777" w:rsidR="00F9248A" w:rsidRDefault="00000000">
            <w:r>
              <w:rPr>
                <w:b/>
                <w:bCs/>
                <w:color w:val="FFFFFF"/>
                <w:sz w:val="30"/>
                <w:szCs w:val="30"/>
              </w:rPr>
              <w:t>CRED's next ₹865 Cr will not come from more users. It will come from better monetizing the 13 million it already has — and the architecture to do it is entirely within reach.</w:t>
            </w:r>
          </w:p>
        </w:tc>
      </w:tr>
    </w:tbl>
    <w:p w14:paraId="0F0846B0" w14:textId="77777777" w:rsidR="00F9248A" w:rsidRDefault="00F9248A">
      <w:pPr>
        <w:spacing w:before="140"/>
      </w:pPr>
    </w:p>
    <w:p w14:paraId="4B8C7640" w14:textId="77777777" w:rsidR="00F9248A" w:rsidRDefault="00000000">
      <w:pPr>
        <w:spacing w:before="80" w:after="80"/>
      </w:pPr>
      <w:r>
        <w:t>The users are premium. The products exist. The engagement is among the strongest in Indian fintech. What is absent is the layer that connects them — the automated, contextual, behavior-triggered system that converts what users do into what CRED earns.</w:t>
      </w:r>
    </w:p>
    <w:p w14:paraId="66A14472" w14:textId="77777777" w:rsidR="00F9248A" w:rsidRDefault="00F9248A">
      <w:pPr>
        <w:spacing w:before="80"/>
      </w:pPr>
    </w:p>
    <w:p w14:paraId="53CBC964" w14:textId="77777777" w:rsidR="00F9248A" w:rsidRDefault="00000000">
      <w:pPr>
        <w:spacing w:before="80" w:after="80"/>
      </w:pPr>
      <w:r>
        <w:t>That is not a product change. It is a revenue architecture change. The distinction matters: product changes take years and introduce risk. Architecture changes are surgical, measurable, and compound from day one.</w:t>
      </w:r>
    </w:p>
    <w:p w14:paraId="4BF9E475" w14:textId="77777777" w:rsidR="00F9248A" w:rsidRDefault="00F9248A">
      <w:pPr>
        <w:spacing w:before="80"/>
      </w:pPr>
    </w:p>
    <w:p w14:paraId="4CBE4242" w14:textId="77777777" w:rsidR="00F9248A" w:rsidRDefault="00000000">
      <w:pPr>
        <w:spacing w:before="80" w:after="80"/>
      </w:pPr>
      <w:r>
        <w:t>The opportunity is not to build something new. It is to connect what already exists — and capture the value that has been accumulating, untouched, since CRED's first engaged user paid their first bill.</w:t>
      </w:r>
    </w:p>
    <w:p w14:paraId="3A00AB14" w14:textId="77777777" w:rsidR="00F9248A" w:rsidRDefault="00F9248A">
      <w:pPr>
        <w:spacing w:before="160"/>
      </w:pPr>
    </w:p>
    <w:p w14:paraId="46AFF495" w14:textId="77777777" w:rsidR="00F9248A" w:rsidRDefault="00F9248A">
      <w:pPr>
        <w:pBdr>
          <w:bottom w:val="single" w:sz="2" w:space="1" w:color="DDDDDD"/>
        </w:pBdr>
        <w:spacing w:before="60" w:after="60"/>
      </w:pPr>
    </w:p>
    <w:p w14:paraId="6746DB8F" w14:textId="77777777" w:rsidR="00F9248A" w:rsidRDefault="00F9248A">
      <w:pPr>
        <w:spacing w:before="120"/>
      </w:pPr>
    </w:p>
    <w:p w14:paraId="2461D837" w14:textId="77777777" w:rsidR="00F9248A" w:rsidRDefault="00000000">
      <w:pPr>
        <w:spacing w:after="60"/>
        <w:jc w:val="center"/>
      </w:pPr>
      <w:r>
        <w:rPr>
          <w:color w:val="555555"/>
        </w:rPr>
        <w:t>If your product is generating engagement but not converting it into revenue —</w:t>
      </w:r>
    </w:p>
    <w:p w14:paraId="58B07299" w14:textId="726D0308" w:rsidR="00F9248A" w:rsidRDefault="00000000">
      <w:pPr>
        <w:jc w:val="center"/>
      </w:pPr>
      <w:r>
        <w:rPr>
          <w:b/>
          <w:bCs/>
          <w:color w:val="111111"/>
        </w:rPr>
        <w:t xml:space="preserve">this is the problem </w:t>
      </w:r>
      <w:r w:rsidR="008D0C30">
        <w:rPr>
          <w:b/>
          <w:bCs/>
          <w:color w:val="111111"/>
        </w:rPr>
        <w:t>we</w:t>
      </w:r>
      <w:r>
        <w:rPr>
          <w:b/>
          <w:bCs/>
          <w:color w:val="111111"/>
        </w:rPr>
        <w:t xml:space="preserve"> solve.</w:t>
      </w:r>
    </w:p>
    <w:p w14:paraId="04292F67" w14:textId="77777777" w:rsidR="00F9248A" w:rsidRDefault="00F9248A">
      <w:pPr>
        <w:spacing w:before="80"/>
      </w:pPr>
    </w:p>
    <w:p w14:paraId="3B0C3166" w14:textId="77777777" w:rsidR="00F9248A" w:rsidRDefault="00000000">
      <w:pPr>
        <w:jc w:val="center"/>
      </w:pPr>
      <w:r>
        <w:rPr>
          <w:color w:val="555555"/>
          <w:sz w:val="20"/>
          <w:szCs w:val="20"/>
        </w:rPr>
        <w:t>Reach out to discuss a revenue architecture engagement tailored to your product, user base, and monetization model.</w:t>
      </w:r>
    </w:p>
    <w:p w14:paraId="5DCFEB9F" w14:textId="77777777" w:rsidR="00F9248A" w:rsidRDefault="00F9248A">
      <w:pPr>
        <w:spacing w:before="120"/>
      </w:pPr>
    </w:p>
    <w:p w14:paraId="0C8F1D3D" w14:textId="77777777" w:rsidR="00F9248A" w:rsidRDefault="00F9248A">
      <w:pPr>
        <w:pBdr>
          <w:bottom w:val="single" w:sz="8" w:space="1" w:color="007A6E"/>
        </w:pBdr>
        <w:spacing w:before="60" w:after="60"/>
      </w:pPr>
    </w:p>
    <w:p w14:paraId="5868F784" w14:textId="5060F1E0" w:rsidR="00F9248A" w:rsidRDefault="00F9248A"/>
    <w:sectPr w:rsidR="00F9248A">
      <w:headerReference w:type="default" r:id="rId12"/>
      <w:pgSz w:w="12240" w:h="15840"/>
      <w:pgMar w:top="1080" w:right="1080" w:bottom="108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A7B6D" w14:textId="77777777" w:rsidR="00A73907" w:rsidRDefault="00A73907">
      <w:r>
        <w:separator/>
      </w:r>
    </w:p>
  </w:endnote>
  <w:endnote w:type="continuationSeparator" w:id="0">
    <w:p w14:paraId="69ACCC33" w14:textId="77777777" w:rsidR="00A73907" w:rsidRDefault="00A73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56A2F" w14:textId="77777777" w:rsidR="00A73907" w:rsidRDefault="00A73907">
      <w:r>
        <w:separator/>
      </w:r>
    </w:p>
  </w:footnote>
  <w:footnote w:type="continuationSeparator" w:id="0">
    <w:p w14:paraId="26EC0FAA" w14:textId="77777777" w:rsidR="00A73907" w:rsidRDefault="00A73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C7335" w14:textId="77777777" w:rsidR="00F9248A" w:rsidRDefault="00000000">
    <w:pPr>
      <w:pBdr>
        <w:bottom w:val="single" w:sz="2" w:space="1" w:color="DDDDDD"/>
      </w:pBdr>
      <w:spacing w:after="120"/>
    </w:pPr>
    <w:r>
      <w:rPr>
        <w:color w:val="888888"/>
        <w:sz w:val="16"/>
        <w:szCs w:val="16"/>
      </w:rPr>
      <w:t>CONFIDENTIAL  ·  STRATEGIC CASE STUDY          CRED REVENUE ARCHITECTURE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416D1A"/>
    <w:multiLevelType w:val="hybridMultilevel"/>
    <w:tmpl w:val="9A72A564"/>
    <w:lvl w:ilvl="0" w:tplc="71C4C9F4">
      <w:start w:val="1"/>
      <w:numFmt w:val="bullet"/>
      <w:lvlText w:val="–"/>
      <w:lvlJc w:val="left"/>
      <w:pPr>
        <w:ind w:left="560" w:hanging="280"/>
      </w:pPr>
      <w:rPr>
        <w:rFonts w:ascii="Arial" w:eastAsia="Arial" w:hAnsi="Arial" w:cs="Arial"/>
        <w:color w:val="007A6E"/>
      </w:rPr>
    </w:lvl>
    <w:lvl w:ilvl="1" w:tplc="2EC6A80C">
      <w:numFmt w:val="decimal"/>
      <w:lvlText w:val=""/>
      <w:lvlJc w:val="left"/>
    </w:lvl>
    <w:lvl w:ilvl="2" w:tplc="76B204DC">
      <w:numFmt w:val="decimal"/>
      <w:lvlText w:val=""/>
      <w:lvlJc w:val="left"/>
    </w:lvl>
    <w:lvl w:ilvl="3" w:tplc="DCDA2E48">
      <w:numFmt w:val="decimal"/>
      <w:lvlText w:val=""/>
      <w:lvlJc w:val="left"/>
    </w:lvl>
    <w:lvl w:ilvl="4" w:tplc="07AE16B0">
      <w:numFmt w:val="decimal"/>
      <w:lvlText w:val=""/>
      <w:lvlJc w:val="left"/>
    </w:lvl>
    <w:lvl w:ilvl="5" w:tplc="BDF6084E">
      <w:numFmt w:val="decimal"/>
      <w:lvlText w:val=""/>
      <w:lvlJc w:val="left"/>
    </w:lvl>
    <w:lvl w:ilvl="6" w:tplc="055E31A0">
      <w:numFmt w:val="decimal"/>
      <w:lvlText w:val=""/>
      <w:lvlJc w:val="left"/>
    </w:lvl>
    <w:lvl w:ilvl="7" w:tplc="44AE227E">
      <w:numFmt w:val="decimal"/>
      <w:lvlText w:val=""/>
      <w:lvlJc w:val="left"/>
    </w:lvl>
    <w:lvl w:ilvl="8" w:tplc="B7EC70AC">
      <w:numFmt w:val="decimal"/>
      <w:lvlText w:val=""/>
      <w:lvlJc w:val="left"/>
    </w:lvl>
  </w:abstractNum>
  <w:abstractNum w:abstractNumId="1" w15:restartNumberingAfterBreak="0">
    <w:nsid w:val="7D0B5BD8"/>
    <w:multiLevelType w:val="hybridMultilevel"/>
    <w:tmpl w:val="FDBA8F8C"/>
    <w:lvl w:ilvl="0" w:tplc="8CCC190A">
      <w:start w:val="1"/>
      <w:numFmt w:val="bullet"/>
      <w:lvlText w:val="●"/>
      <w:lvlJc w:val="left"/>
      <w:pPr>
        <w:ind w:left="720" w:hanging="360"/>
      </w:pPr>
    </w:lvl>
    <w:lvl w:ilvl="1" w:tplc="0C380826">
      <w:start w:val="1"/>
      <w:numFmt w:val="bullet"/>
      <w:lvlText w:val="○"/>
      <w:lvlJc w:val="left"/>
      <w:pPr>
        <w:ind w:left="1440" w:hanging="360"/>
      </w:pPr>
    </w:lvl>
    <w:lvl w:ilvl="2" w:tplc="037299FA">
      <w:start w:val="1"/>
      <w:numFmt w:val="bullet"/>
      <w:lvlText w:val="■"/>
      <w:lvlJc w:val="left"/>
      <w:pPr>
        <w:ind w:left="2160" w:hanging="360"/>
      </w:pPr>
    </w:lvl>
    <w:lvl w:ilvl="3" w:tplc="B300A4EA">
      <w:start w:val="1"/>
      <w:numFmt w:val="bullet"/>
      <w:lvlText w:val="●"/>
      <w:lvlJc w:val="left"/>
      <w:pPr>
        <w:ind w:left="2880" w:hanging="360"/>
      </w:pPr>
    </w:lvl>
    <w:lvl w:ilvl="4" w:tplc="52E0AF9C">
      <w:start w:val="1"/>
      <w:numFmt w:val="bullet"/>
      <w:lvlText w:val="○"/>
      <w:lvlJc w:val="left"/>
      <w:pPr>
        <w:ind w:left="3600" w:hanging="360"/>
      </w:pPr>
    </w:lvl>
    <w:lvl w:ilvl="5" w:tplc="A0D0CFFC">
      <w:start w:val="1"/>
      <w:numFmt w:val="bullet"/>
      <w:lvlText w:val="■"/>
      <w:lvlJc w:val="left"/>
      <w:pPr>
        <w:ind w:left="4320" w:hanging="360"/>
      </w:pPr>
    </w:lvl>
    <w:lvl w:ilvl="6" w:tplc="B1C4568C">
      <w:start w:val="1"/>
      <w:numFmt w:val="bullet"/>
      <w:lvlText w:val="●"/>
      <w:lvlJc w:val="left"/>
      <w:pPr>
        <w:ind w:left="5040" w:hanging="360"/>
      </w:pPr>
    </w:lvl>
    <w:lvl w:ilvl="7" w:tplc="8CC83960">
      <w:start w:val="1"/>
      <w:numFmt w:val="bullet"/>
      <w:lvlText w:val="●"/>
      <w:lvlJc w:val="left"/>
      <w:pPr>
        <w:ind w:left="5760" w:hanging="360"/>
      </w:pPr>
    </w:lvl>
    <w:lvl w:ilvl="8" w:tplc="8C8075B4">
      <w:start w:val="1"/>
      <w:numFmt w:val="bullet"/>
      <w:lvlText w:val="●"/>
      <w:lvlJc w:val="left"/>
      <w:pPr>
        <w:ind w:left="6480" w:hanging="360"/>
      </w:pPr>
    </w:lvl>
  </w:abstractNum>
  <w:num w:numId="1" w16cid:durableId="1574969158">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8A"/>
    <w:rsid w:val="003A4A0A"/>
    <w:rsid w:val="00591204"/>
    <w:rsid w:val="008D0C30"/>
    <w:rsid w:val="00A73907"/>
    <w:rsid w:val="00F924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763B9"/>
  <w15:docId w15:val="{6A94C9E4-BAD7-42CC-A156-8CA3B2DDD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383838"/>
        <w:sz w:val="21"/>
        <w:szCs w:val="21"/>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3065</Words>
  <Characters>17473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Aman Undirwade</cp:lastModifiedBy>
  <cp:revision>2</cp:revision>
  <dcterms:created xsi:type="dcterms:W3CDTF">2026-04-27T10:51:00Z</dcterms:created>
  <dcterms:modified xsi:type="dcterms:W3CDTF">2026-04-27T11:01:00Z</dcterms:modified>
</cp:coreProperties>
</file>