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B41BDB" w14:paraId="58F55AB8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bottom w:val="single" w:sz="8" w:space="0" w:color="D4280A"/>
            </w:tcBorders>
            <w:shd w:val="clear" w:color="auto" w:fill="111111"/>
            <w:tcMar>
              <w:top w:w="160" w:type="dxa"/>
              <w:left w:w="0" w:type="dxa"/>
              <w:bottom w:w="160" w:type="dxa"/>
              <w:right w:w="0" w:type="dxa"/>
            </w:tcMar>
          </w:tcPr>
          <w:p w14:paraId="41849F65" w14:textId="77777777" w:rsidR="00E8340B" w:rsidRDefault="00000000">
            <w:pPr>
              <w:jc w:val="center"/>
              <w:rPr>
                <w:b/>
                <w:bCs/>
                <w:color w:val="D4280A"/>
                <w:spacing w:val="200"/>
                <w:sz w:val="17"/>
                <w:szCs w:val="17"/>
              </w:rPr>
            </w:pPr>
            <w:r>
              <w:rPr>
                <w:b/>
                <w:bCs/>
                <w:color w:val="D4280A"/>
                <w:spacing w:val="200"/>
                <w:sz w:val="17"/>
                <w:szCs w:val="17"/>
              </w:rPr>
              <w:t>REVENUE TEARDOW</w:t>
            </w:r>
            <w:r w:rsidR="00E8340B">
              <w:rPr>
                <w:b/>
                <w:bCs/>
                <w:color w:val="D4280A"/>
                <w:spacing w:val="200"/>
                <w:sz w:val="17"/>
                <w:szCs w:val="17"/>
              </w:rPr>
              <w:t>N</w:t>
            </w:r>
          </w:p>
          <w:p w14:paraId="1F19B94F" w14:textId="77777777" w:rsidR="00E8340B" w:rsidRDefault="00000000">
            <w:pPr>
              <w:jc w:val="center"/>
              <w:rPr>
                <w:b/>
                <w:bCs/>
                <w:color w:val="D4280A"/>
                <w:spacing w:val="200"/>
                <w:sz w:val="17"/>
                <w:szCs w:val="17"/>
              </w:rPr>
            </w:pPr>
            <w:r>
              <w:rPr>
                <w:b/>
                <w:bCs/>
                <w:color w:val="D4280A"/>
                <w:spacing w:val="200"/>
                <w:sz w:val="17"/>
                <w:szCs w:val="17"/>
              </w:rPr>
              <w:t>·  EXPANSION STRATEGY  ·</w:t>
            </w:r>
          </w:p>
          <w:p w14:paraId="14C4B235" w14:textId="34C25A94" w:rsidR="00B41BDB" w:rsidRDefault="00000000">
            <w:pPr>
              <w:jc w:val="center"/>
            </w:pPr>
            <w:r>
              <w:rPr>
                <w:b/>
                <w:bCs/>
                <w:color w:val="D4280A"/>
                <w:spacing w:val="200"/>
                <w:sz w:val="17"/>
                <w:szCs w:val="17"/>
              </w:rPr>
              <w:t>2025</w:t>
            </w:r>
            <w:r w:rsidR="00E8340B">
              <w:rPr>
                <w:b/>
                <w:bCs/>
                <w:color w:val="D4280A"/>
                <w:spacing w:val="200"/>
                <w:sz w:val="17"/>
                <w:szCs w:val="17"/>
              </w:rPr>
              <w:t>-26</w:t>
            </w:r>
          </w:p>
        </w:tc>
      </w:tr>
    </w:tbl>
    <w:p w14:paraId="57A618EA" w14:textId="77777777" w:rsidR="00B41BDB" w:rsidRDefault="00B41BDB">
      <w:pPr>
        <w:spacing w:before="560"/>
      </w:pPr>
    </w:p>
    <w:p w14:paraId="1A169B35" w14:textId="12F227C1" w:rsidR="00B41BDB" w:rsidRPr="00E8340B" w:rsidRDefault="00000000" w:rsidP="00E8340B">
      <w:pPr>
        <w:spacing w:after="120"/>
        <w:rPr>
          <w:b/>
          <w:bCs/>
          <w:color w:val="6B6B6B"/>
          <w:spacing w:val="400"/>
          <w:sz w:val="22"/>
          <w:szCs w:val="22"/>
        </w:rPr>
      </w:pPr>
      <w:r w:rsidRPr="00E8340B">
        <w:rPr>
          <w:b/>
          <w:bCs/>
          <w:color w:val="6B6B6B"/>
          <w:spacing w:val="400"/>
          <w:sz w:val="22"/>
          <w:szCs w:val="22"/>
        </w:rPr>
        <w:t>SUBJECT·HUBSPO</w:t>
      </w:r>
      <w:r w:rsidR="00E8340B">
        <w:rPr>
          <w:b/>
          <w:bCs/>
          <w:color w:val="6B6B6B"/>
          <w:spacing w:val="400"/>
          <w:sz w:val="22"/>
          <w:szCs w:val="22"/>
        </w:rPr>
        <w:t xml:space="preserve">T </w:t>
      </w:r>
      <w:r w:rsidRPr="00E8340B">
        <w:rPr>
          <w:b/>
          <w:bCs/>
          <w:color w:val="6B6B6B"/>
          <w:spacing w:val="400"/>
          <w:sz w:val="22"/>
          <w:szCs w:val="22"/>
        </w:rPr>
        <w:t>INC.</w:t>
      </w:r>
    </w:p>
    <w:p w14:paraId="704CFDB1" w14:textId="77777777" w:rsidR="00B41BDB" w:rsidRDefault="00000000">
      <w:r>
        <w:rPr>
          <w:b/>
          <w:bCs/>
          <w:color w:val="111111"/>
          <w:sz w:val="116"/>
          <w:szCs w:val="116"/>
        </w:rPr>
        <w:t>HUBSPOT</w:t>
      </w:r>
    </w:p>
    <w:p w14:paraId="54AD6D67" w14:textId="77777777" w:rsidR="00B41BDB" w:rsidRDefault="00000000">
      <w:r>
        <w:rPr>
          <w:b/>
          <w:bCs/>
          <w:color w:val="D4280A"/>
          <w:sz w:val="116"/>
          <w:szCs w:val="116"/>
        </w:rPr>
        <w:t>$300M</w:t>
      </w:r>
    </w:p>
    <w:p w14:paraId="1C4AFD3C" w14:textId="77777777" w:rsidR="00B41BDB" w:rsidRDefault="00000000">
      <w:pPr>
        <w:spacing w:after="80"/>
      </w:pPr>
      <w:r>
        <w:rPr>
          <w:b/>
          <w:bCs/>
          <w:color w:val="D4280A"/>
          <w:sz w:val="116"/>
          <w:szCs w:val="116"/>
        </w:rPr>
        <w:t>PROBLEM</w:t>
      </w:r>
    </w:p>
    <w:p w14:paraId="03E1A118" w14:textId="77777777" w:rsidR="00B41BDB" w:rsidRDefault="00000000">
      <w:r>
        <w:rPr>
          <w:color w:val="666666"/>
          <w:sz w:val="28"/>
          <w:szCs w:val="28"/>
        </w:rPr>
        <w:t>How a $3.1B ARR company is leaving its most powerful growth lever untouched</w:t>
      </w:r>
    </w:p>
    <w:p w14:paraId="01EDD556" w14:textId="77777777" w:rsidR="00B41BDB" w:rsidRDefault="00B41BDB">
      <w:pPr>
        <w:spacing w:before="400"/>
      </w:pPr>
    </w:p>
    <w:p w14:paraId="1C1DFFE3" w14:textId="77777777" w:rsidR="00B41BDB" w:rsidRDefault="00B41BDB">
      <w:pPr>
        <w:pBdr>
          <w:bottom w:val="single" w:sz="2" w:space="1" w:color="E0E0E0"/>
        </w:pBdr>
        <w:spacing w:before="60" w:after="60"/>
      </w:pPr>
    </w:p>
    <w:p w14:paraId="45EE716C" w14:textId="77777777" w:rsidR="00B41BDB" w:rsidRDefault="00B41BDB">
      <w:pPr>
        <w:spacing w:before="12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400"/>
        <w:gridCol w:w="6960"/>
      </w:tblGrid>
      <w:tr w:rsidR="00B41BDB" w14:paraId="47634392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bottom w:val="single" w:sz="1" w:space="0" w:color="E0E0E0"/>
            </w:tcBorders>
            <w:tcMar>
              <w:top w:w="100" w:type="dxa"/>
              <w:left w:w="0" w:type="dxa"/>
              <w:bottom w:w="100" w:type="dxa"/>
              <w:right w:w="240" w:type="dxa"/>
            </w:tcMar>
          </w:tcPr>
          <w:p w14:paraId="6782116D" w14:textId="77777777" w:rsidR="00B41BDB" w:rsidRDefault="00000000">
            <w:r>
              <w:rPr>
                <w:b/>
                <w:bCs/>
                <w:color w:val="666666"/>
                <w:spacing w:val="80"/>
                <w:sz w:val="17"/>
                <w:szCs w:val="17"/>
              </w:rPr>
              <w:t>DOCUMENT TYPE</w:t>
            </w:r>
          </w:p>
        </w:tc>
        <w:tc>
          <w:tcPr>
            <w:tcW w:w="6960" w:type="dxa"/>
            <w:tcBorders>
              <w:bottom w:val="single" w:sz="1" w:space="0" w:color="E0E0E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14:paraId="03E37099" w14:textId="77777777" w:rsidR="00B41BDB" w:rsidRDefault="00000000">
            <w:r>
              <w:rPr>
                <w:color w:val="111111"/>
              </w:rPr>
              <w:t>Strategic Case Study — Consulting Grade</w:t>
            </w:r>
          </w:p>
        </w:tc>
      </w:tr>
      <w:tr w:rsidR="00B41BDB" w14:paraId="04262466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bottom w:val="single" w:sz="1" w:space="0" w:color="E0E0E0"/>
            </w:tcBorders>
            <w:tcMar>
              <w:top w:w="100" w:type="dxa"/>
              <w:left w:w="0" w:type="dxa"/>
              <w:bottom w:w="100" w:type="dxa"/>
              <w:right w:w="240" w:type="dxa"/>
            </w:tcMar>
          </w:tcPr>
          <w:p w14:paraId="46241566" w14:textId="77777777" w:rsidR="00B41BDB" w:rsidRDefault="00000000">
            <w:r>
              <w:rPr>
                <w:b/>
                <w:bCs/>
                <w:color w:val="666666"/>
                <w:spacing w:val="80"/>
                <w:sz w:val="17"/>
                <w:szCs w:val="17"/>
              </w:rPr>
              <w:t>SCOPE</w:t>
            </w:r>
          </w:p>
        </w:tc>
        <w:tc>
          <w:tcPr>
            <w:tcW w:w="6960" w:type="dxa"/>
            <w:tcBorders>
              <w:bottom w:val="single" w:sz="1" w:space="0" w:color="E0E0E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14:paraId="7155D054" w14:textId="77777777" w:rsidR="00B41BDB" w:rsidRDefault="00000000">
            <w:r>
              <w:rPr>
                <w:color w:val="111111"/>
              </w:rPr>
              <w:t>Expansion Monetization Redesign</w:t>
            </w:r>
          </w:p>
        </w:tc>
      </w:tr>
      <w:tr w:rsidR="00B41BDB" w14:paraId="5C9606E8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bottom w:val="single" w:sz="1" w:space="0" w:color="E0E0E0"/>
            </w:tcBorders>
            <w:tcMar>
              <w:top w:w="100" w:type="dxa"/>
              <w:left w:w="0" w:type="dxa"/>
              <w:bottom w:w="100" w:type="dxa"/>
              <w:right w:w="240" w:type="dxa"/>
            </w:tcMar>
          </w:tcPr>
          <w:p w14:paraId="464F1686" w14:textId="77777777" w:rsidR="00B41BDB" w:rsidRDefault="00000000">
            <w:r>
              <w:rPr>
                <w:b/>
                <w:bCs/>
                <w:color w:val="666666"/>
                <w:spacing w:val="80"/>
                <w:sz w:val="17"/>
                <w:szCs w:val="17"/>
              </w:rPr>
              <w:t>CORE THESIS</w:t>
            </w:r>
          </w:p>
        </w:tc>
        <w:tc>
          <w:tcPr>
            <w:tcW w:w="6960" w:type="dxa"/>
            <w:tcBorders>
              <w:bottom w:val="single" w:sz="1" w:space="0" w:color="E0E0E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14:paraId="631FF8BB" w14:textId="77777777" w:rsidR="00B41BDB" w:rsidRDefault="00000000">
            <w:r>
              <w:rPr>
                <w:color w:val="111111"/>
              </w:rPr>
              <w:t>HubSpot's expansion engine is structurally passive — usage signals do not automatically convert to revenue</w:t>
            </w:r>
          </w:p>
        </w:tc>
      </w:tr>
      <w:tr w:rsidR="00B41BDB" w14:paraId="69170B6D" w14:textId="77777777">
        <w:tblPrEx>
          <w:tblCellMar>
            <w:top w:w="0" w:type="dxa"/>
            <w:bottom w:w="0" w:type="dxa"/>
          </w:tblCellMar>
        </w:tblPrEx>
        <w:tc>
          <w:tcPr>
            <w:tcW w:w="2400" w:type="dxa"/>
            <w:tcBorders>
              <w:bottom w:val="single" w:sz="1" w:space="0" w:color="E0E0E0"/>
            </w:tcBorders>
            <w:tcMar>
              <w:top w:w="100" w:type="dxa"/>
              <w:left w:w="0" w:type="dxa"/>
              <w:bottom w:w="100" w:type="dxa"/>
              <w:right w:w="240" w:type="dxa"/>
            </w:tcMar>
          </w:tcPr>
          <w:p w14:paraId="0293DE7B" w14:textId="77777777" w:rsidR="00B41BDB" w:rsidRDefault="00000000">
            <w:r>
              <w:rPr>
                <w:b/>
                <w:bCs/>
                <w:color w:val="666666"/>
                <w:spacing w:val="80"/>
                <w:sz w:val="17"/>
                <w:szCs w:val="17"/>
              </w:rPr>
              <w:t>ESTIMATED OPPORTUNITY</w:t>
            </w:r>
          </w:p>
        </w:tc>
        <w:tc>
          <w:tcPr>
            <w:tcW w:w="6960" w:type="dxa"/>
            <w:tcBorders>
              <w:bottom w:val="single" w:sz="1" w:space="0" w:color="E0E0E0"/>
            </w:tcBorders>
            <w:tcMar>
              <w:top w:w="100" w:type="dxa"/>
              <w:left w:w="0" w:type="dxa"/>
              <w:bottom w:w="100" w:type="dxa"/>
              <w:right w:w="0" w:type="dxa"/>
            </w:tcMar>
          </w:tcPr>
          <w:p w14:paraId="7DCAD33F" w14:textId="77777777" w:rsidR="00B41BDB" w:rsidRDefault="00000000">
            <w:r>
              <w:rPr>
                <w:color w:val="111111"/>
              </w:rPr>
              <w:t>$150M – $300M+ Incremental ARR from Existing Accounts</w:t>
            </w:r>
          </w:p>
        </w:tc>
      </w:tr>
    </w:tbl>
    <w:p w14:paraId="341E48F6" w14:textId="77777777" w:rsidR="00B41BDB" w:rsidRDefault="00B41BDB">
      <w:pPr>
        <w:spacing w:before="4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B41BDB" w14:paraId="5CBE201B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shd w:val="clear" w:color="auto" w:fill="D4280A"/>
            <w:tcMar>
              <w:top w:w="140" w:type="dxa"/>
              <w:left w:w="300" w:type="dxa"/>
              <w:bottom w:w="140" w:type="dxa"/>
              <w:right w:w="300" w:type="dxa"/>
            </w:tcMar>
          </w:tcPr>
          <w:p w14:paraId="08E1E295" w14:textId="4E338193" w:rsidR="00B41BDB" w:rsidRDefault="00E8340B">
            <w:pPr>
              <w:jc w:val="center"/>
            </w:pPr>
            <w:r>
              <w:rPr>
                <w:b/>
                <w:bCs/>
                <w:color w:val="FFFFFF"/>
                <w:spacing w:val="120"/>
                <w:sz w:val="18"/>
                <w:szCs w:val="18"/>
              </w:rPr>
              <w:t>CASE STUDY  ·  PORTFOLIO ASSET  ·</w:t>
            </w:r>
          </w:p>
        </w:tc>
      </w:tr>
    </w:tbl>
    <w:p w14:paraId="04E28B92" w14:textId="77777777" w:rsidR="00B41BDB" w:rsidRDefault="00000000">
      <w:r>
        <w:br w:type="page"/>
      </w:r>
    </w:p>
    <w:p w14:paraId="021118C4" w14:textId="77777777" w:rsidR="00B41BDB" w:rsidRDefault="00000000">
      <w:pPr>
        <w:spacing w:before="360" w:after="80"/>
      </w:pPr>
      <w:r>
        <w:rPr>
          <w:b/>
          <w:bCs/>
          <w:color w:val="D4280A"/>
          <w:spacing w:val="150"/>
          <w:sz w:val="17"/>
          <w:szCs w:val="17"/>
        </w:rPr>
        <w:lastRenderedPageBreak/>
        <w:t>01 / EXECUTIVE SUMMARY</w:t>
      </w:r>
    </w:p>
    <w:p w14:paraId="64EFB792" w14:textId="77777777" w:rsidR="00B41BDB" w:rsidRDefault="00000000">
      <w:pPr>
        <w:spacing w:before="60" w:after="180"/>
      </w:pPr>
      <w:r>
        <w:rPr>
          <w:b/>
          <w:bCs/>
          <w:color w:val="0A0A0A"/>
          <w:sz w:val="52"/>
          <w:szCs w:val="52"/>
        </w:rPr>
        <w:t>Built for Adoption. Not Built for Monetization.</w:t>
      </w:r>
    </w:p>
    <w:p w14:paraId="5B6247DD" w14:textId="77777777" w:rsidR="00B41BDB" w:rsidRDefault="00000000">
      <w:pPr>
        <w:spacing w:before="80" w:after="80"/>
      </w:pPr>
      <w:r>
        <w:t>HubSpot has engineered one of the most effective product-led growth systems in enterprise SaaS. Its freemium CRM captures demand at scale. Its content flywheel drives organic discovery. Its platform breadth creates genuine switching costs.</w:t>
      </w:r>
    </w:p>
    <w:p w14:paraId="646BC25F" w14:textId="77777777" w:rsidR="00B41BDB" w:rsidRDefault="00B41BDB">
      <w:pPr>
        <w:spacing w:before="60"/>
      </w:pPr>
    </w:p>
    <w:p w14:paraId="150CB598" w14:textId="77777777" w:rsidR="00B41BDB" w:rsidRDefault="00000000">
      <w:pPr>
        <w:spacing w:before="80" w:after="80"/>
      </w:pPr>
      <w:r>
        <w:t>None of that is the problem.</w:t>
      </w:r>
    </w:p>
    <w:p w14:paraId="239F3E18" w14:textId="77777777" w:rsidR="00B41BDB" w:rsidRDefault="00B41BDB">
      <w:pPr>
        <w:spacing w:before="60"/>
      </w:pPr>
    </w:p>
    <w:p w14:paraId="2F1DE933" w14:textId="77777777" w:rsidR="00B41BDB" w:rsidRDefault="00000000">
      <w:pPr>
        <w:spacing w:before="80" w:after="80"/>
      </w:pPr>
      <w:r>
        <w:t>The problem sits one layer deeper: HubSpot's expansion engine — its single highest-leverage revenue mechanism — is structurally passive. Usage grows. Dependency deepens. Signals accumulate. Nothing happens automatically. Expansion waits for a sales rep, a renewal conversation, or user initiative.</w:t>
      </w:r>
    </w:p>
    <w:p w14:paraId="29881222" w14:textId="77777777" w:rsidR="00B41BDB" w:rsidRDefault="00B41BDB">
      <w:pPr>
        <w:spacing w:before="60"/>
      </w:pPr>
    </w:p>
    <w:p w14:paraId="642C7C90" w14:textId="77777777" w:rsidR="00B41BDB" w:rsidRDefault="00000000">
      <w:pPr>
        <w:spacing w:before="80" w:after="80"/>
      </w:pPr>
      <w:r>
        <w:t>On a $3.1B ARR base, that is not a growth problem. It is a revenue architecture problem — and it is compounding.</w:t>
      </w:r>
    </w:p>
    <w:p w14:paraId="19B394D4" w14:textId="77777777" w:rsidR="00B41BDB" w:rsidRDefault="00B41BDB">
      <w:pPr>
        <w:spacing w:before="1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B41BDB" w14:paraId="0CA7B43C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right w:val="single" w:sz="2" w:space="0" w:color="E0E0E0"/>
            </w:tcBorders>
            <w:shd w:val="clear" w:color="auto" w:fill="F4F4F4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19614DCD" w14:textId="77777777" w:rsidR="00B41BDB" w:rsidRDefault="00000000">
            <w:pPr>
              <w:spacing w:after="60"/>
              <w:jc w:val="center"/>
            </w:pPr>
            <w:r>
              <w:rPr>
                <w:b/>
                <w:bCs/>
                <w:color w:val="D4280A"/>
                <w:sz w:val="48"/>
                <w:szCs w:val="48"/>
              </w:rPr>
              <w:t>$150M–$300M+</w:t>
            </w:r>
          </w:p>
          <w:p w14:paraId="44F28192" w14:textId="77777777" w:rsidR="00B41BDB" w:rsidRDefault="00000000">
            <w:pPr>
              <w:jc w:val="center"/>
            </w:pPr>
            <w:r>
              <w:rPr>
                <w:color w:val="666666"/>
                <w:sz w:val="17"/>
                <w:szCs w:val="17"/>
              </w:rPr>
              <w:t>Incremental ARR — Existing Accounts</w:t>
            </w:r>
          </w:p>
        </w:tc>
        <w:tc>
          <w:tcPr>
            <w:tcW w:w="3120" w:type="dxa"/>
            <w:tcBorders>
              <w:right w:val="single" w:sz="2" w:space="0" w:color="E0E0E0"/>
            </w:tcBorders>
            <w:shd w:val="clear" w:color="auto" w:fill="F4F4F4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26619E8C" w14:textId="77777777" w:rsidR="00B41BDB" w:rsidRDefault="00000000">
            <w:pPr>
              <w:spacing w:after="60"/>
              <w:jc w:val="center"/>
            </w:pPr>
            <w:r>
              <w:rPr>
                <w:b/>
                <w:bCs/>
                <w:color w:val="D4280A"/>
                <w:sz w:val="48"/>
                <w:szCs w:val="48"/>
              </w:rPr>
              <w:t>102–105%</w:t>
            </w:r>
          </w:p>
          <w:p w14:paraId="0A0C38E7" w14:textId="77777777" w:rsidR="00B41BDB" w:rsidRDefault="00000000">
            <w:pPr>
              <w:jc w:val="center"/>
            </w:pPr>
            <w:r>
              <w:rPr>
                <w:color w:val="666666"/>
                <w:sz w:val="17"/>
                <w:szCs w:val="17"/>
              </w:rPr>
              <w:t>Current NRR — vs. 115% Peak</w:t>
            </w:r>
          </w:p>
        </w:tc>
        <w:tc>
          <w:tcPr>
            <w:tcW w:w="3120" w:type="dxa"/>
            <w:shd w:val="clear" w:color="auto" w:fill="F4F4F4"/>
            <w:tcMar>
              <w:top w:w="220" w:type="dxa"/>
              <w:left w:w="220" w:type="dxa"/>
              <w:bottom w:w="220" w:type="dxa"/>
              <w:right w:w="220" w:type="dxa"/>
            </w:tcMar>
          </w:tcPr>
          <w:p w14:paraId="11EFB9CE" w14:textId="77777777" w:rsidR="00B41BDB" w:rsidRDefault="00000000">
            <w:pPr>
              <w:spacing w:after="60"/>
              <w:jc w:val="center"/>
            </w:pPr>
            <w:r>
              <w:rPr>
                <w:b/>
                <w:bCs/>
                <w:color w:val="D4280A"/>
                <w:sz w:val="48"/>
                <w:szCs w:val="48"/>
              </w:rPr>
              <w:t>62%</w:t>
            </w:r>
          </w:p>
          <w:p w14:paraId="34B7DD0B" w14:textId="77777777" w:rsidR="00B41BDB" w:rsidRDefault="00000000">
            <w:pPr>
              <w:jc w:val="center"/>
            </w:pPr>
            <w:r>
              <w:rPr>
                <w:color w:val="666666"/>
                <w:sz w:val="17"/>
                <w:szCs w:val="17"/>
              </w:rPr>
              <w:t>New Pro+ Customers — Already Multi-Hub</w:t>
            </w:r>
          </w:p>
        </w:tc>
      </w:tr>
    </w:tbl>
    <w:p w14:paraId="18BA0EFB" w14:textId="77777777" w:rsidR="00B41BDB" w:rsidRDefault="00B41BDB">
      <w:pPr>
        <w:spacing w:before="240"/>
      </w:pPr>
    </w:p>
    <w:p w14:paraId="34DD7AF7" w14:textId="77777777" w:rsidR="00B41BDB" w:rsidRDefault="00000000">
      <w:r>
        <w:br w:type="page"/>
      </w:r>
    </w:p>
    <w:p w14:paraId="2FC33005" w14:textId="77777777" w:rsidR="00B41BDB" w:rsidRDefault="00000000">
      <w:pPr>
        <w:spacing w:before="360" w:after="80"/>
      </w:pPr>
      <w:r>
        <w:rPr>
          <w:b/>
          <w:bCs/>
          <w:color w:val="D4280A"/>
          <w:spacing w:val="150"/>
          <w:sz w:val="17"/>
          <w:szCs w:val="17"/>
        </w:rPr>
        <w:lastRenderedPageBreak/>
        <w:t>02 / CORE THESIS</w:t>
      </w:r>
    </w:p>
    <w:p w14:paraId="6E1604EF" w14:textId="77777777" w:rsidR="00B41BDB" w:rsidRDefault="00000000">
      <w:pPr>
        <w:spacing w:before="60" w:after="180"/>
      </w:pPr>
      <w:r>
        <w:rPr>
          <w:b/>
          <w:bCs/>
          <w:color w:val="0A0A0A"/>
          <w:sz w:val="52"/>
          <w:szCs w:val="52"/>
        </w:rPr>
        <w:t>The Signal–Monetization Gap</w:t>
      </w:r>
    </w:p>
    <w:p w14:paraId="5DC82BD9" w14:textId="77777777" w:rsidR="00B41BDB" w:rsidRDefault="00000000">
      <w:pPr>
        <w:spacing w:before="80" w:after="80"/>
      </w:pPr>
      <w:r>
        <w:t xml:space="preserve">HubSpot's system generates four distinct expansion signals continuously: high usage, team growth, feature depth, and cross-functional activity. Every signal is observable. Every signal </w:t>
      </w:r>
      <w:proofErr w:type="gramStart"/>
      <w:r>
        <w:t>maps</w:t>
      </w:r>
      <w:proofErr w:type="gramEnd"/>
      <w:r>
        <w:t xml:space="preserve"> to a concrete revenue action — upgrade, add hub, increase plan, expand account.</w:t>
      </w:r>
    </w:p>
    <w:p w14:paraId="63471ABE" w14:textId="77777777" w:rsidR="00B41BDB" w:rsidRDefault="00B41BDB">
      <w:pPr>
        <w:spacing w:before="80"/>
      </w:pPr>
    </w:p>
    <w:p w14:paraId="39D9CEFA" w14:textId="77777777" w:rsidR="00B41BDB" w:rsidRDefault="00000000">
      <w:pPr>
        <w:spacing w:before="80" w:after="80"/>
      </w:pPr>
      <w:r>
        <w:t>Between the signal and the action: nothing. No automated conversion layer. No real-time trigger. No in-product monetization logic.</w:t>
      </w:r>
    </w:p>
    <w:p w14:paraId="73E6327F" w14:textId="77777777" w:rsidR="00B41BDB" w:rsidRDefault="00B41BDB">
      <w:pPr>
        <w:spacing w:before="80"/>
      </w:pPr>
    </w:p>
    <w:p w14:paraId="612C1EA2" w14:textId="77777777" w:rsidR="00B41BDB" w:rsidRDefault="00000000">
      <w:pPr>
        <w:spacing w:before="80" w:after="80"/>
      </w:pPr>
      <w:r>
        <w:t>This is not a data problem. HubSpot has the signals. It is an architecture problem — the system observes value creation, then waits for a human to convert it into revenue.</w:t>
      </w:r>
    </w:p>
    <w:p w14:paraId="74A0074A" w14:textId="77777777" w:rsidR="00B41BDB" w:rsidRDefault="00B41BDB">
      <w:pPr>
        <w:spacing w:before="140"/>
      </w:pPr>
    </w:p>
    <w:p w14:paraId="3A4484F0" w14:textId="77777777" w:rsidR="00B41BDB" w:rsidRDefault="00000000">
      <w:pPr>
        <w:spacing w:before="160" w:after="60"/>
      </w:pPr>
      <w:r>
        <w:rPr>
          <w:b/>
          <w:bCs/>
          <w:color w:val="666666"/>
          <w:spacing w:val="120"/>
          <w:sz w:val="17"/>
          <w:szCs w:val="17"/>
        </w:rPr>
        <w:t>FIGURE 01  ·  SIGNAL-TO-MONETIZATION GAP</w:t>
      </w:r>
    </w:p>
    <w:p w14:paraId="5D4D0349" w14:textId="6B29248C" w:rsidR="00B41BDB" w:rsidRDefault="00E8340B" w:rsidP="00E8340B">
      <w:pPr>
        <w:spacing w:before="140"/>
        <w:jc w:val="center"/>
      </w:pPr>
      <w:r>
        <w:rPr>
          <w:noProof/>
        </w:rPr>
        <w:drawing>
          <wp:inline distT="0" distB="0" distL="0" distR="0" wp14:anchorId="246C0F83" wp14:editId="1A103E7A">
            <wp:extent cx="5400000" cy="36038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7DA2" w14:textId="22ECB0BD" w:rsidR="00E8340B" w:rsidRDefault="00E8340B" w:rsidP="00E8340B">
      <w:pPr>
        <w:spacing w:before="140"/>
        <w:jc w:val="center"/>
      </w:pPr>
      <w:r>
        <w:rPr>
          <w:color w:val="6B7280"/>
          <w:sz w:val="18"/>
          <w:szCs w:val="18"/>
        </w:rPr>
        <w:t>Product signals exist. Revenue actions exist. The bridge between them does not.</w:t>
      </w:r>
    </w:p>
    <w:p w14:paraId="6C35E899" w14:textId="77777777" w:rsidR="00E8340B" w:rsidRDefault="00E8340B">
      <w:pPr>
        <w:spacing w:before="1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B41BDB" w14:paraId="552FAF2B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left w:val="single" w:sz="24" w:space="0" w:color="D4280A"/>
            </w:tcBorders>
            <w:shd w:val="clear" w:color="auto" w:fill="111111"/>
            <w:tcMar>
              <w:top w:w="260" w:type="dxa"/>
              <w:left w:w="400" w:type="dxa"/>
              <w:bottom w:w="260" w:type="dxa"/>
              <w:right w:w="280" w:type="dxa"/>
            </w:tcMar>
          </w:tcPr>
          <w:p w14:paraId="6E83E687" w14:textId="77777777" w:rsidR="00B41BDB" w:rsidRDefault="00000000">
            <w:r>
              <w:rPr>
                <w:b/>
                <w:bCs/>
                <w:i/>
                <w:iCs/>
                <w:color w:val="FFFFFF"/>
                <w:sz w:val="25"/>
                <w:szCs w:val="25"/>
              </w:rPr>
              <w:t>HubSpot has solved acquisition. It has solved activation. It has built deep product dependency. What it has not solved is automatic monetization — the real-time conversion of value created into revenue captured.</w:t>
            </w:r>
          </w:p>
        </w:tc>
      </w:tr>
    </w:tbl>
    <w:p w14:paraId="215FF4A4" w14:textId="77777777" w:rsidR="00B41BDB" w:rsidRDefault="00B41BDB">
      <w:pPr>
        <w:spacing w:before="240"/>
      </w:pPr>
    </w:p>
    <w:p w14:paraId="79390041" w14:textId="77777777" w:rsidR="00B41BDB" w:rsidRDefault="00000000">
      <w:r>
        <w:br w:type="page"/>
      </w:r>
    </w:p>
    <w:p w14:paraId="1ACBC529" w14:textId="77777777" w:rsidR="00B41BDB" w:rsidRDefault="00000000">
      <w:pPr>
        <w:spacing w:before="360" w:after="80"/>
      </w:pPr>
      <w:r>
        <w:rPr>
          <w:b/>
          <w:bCs/>
          <w:color w:val="D4280A"/>
          <w:spacing w:val="150"/>
          <w:sz w:val="17"/>
          <w:szCs w:val="17"/>
        </w:rPr>
        <w:lastRenderedPageBreak/>
        <w:t>03 / SYSTEM BREAKDOWN</w:t>
      </w:r>
    </w:p>
    <w:p w14:paraId="16578000" w14:textId="77777777" w:rsidR="00B41BDB" w:rsidRDefault="00000000">
      <w:pPr>
        <w:spacing w:before="60" w:after="180"/>
      </w:pPr>
      <w:r>
        <w:rPr>
          <w:b/>
          <w:bCs/>
          <w:color w:val="0A0A0A"/>
          <w:sz w:val="52"/>
          <w:szCs w:val="52"/>
        </w:rPr>
        <w:t>How the Engine Works — And Where It Stops</w:t>
      </w:r>
    </w:p>
    <w:p w14:paraId="35D64C21" w14:textId="77777777" w:rsidR="00B41BDB" w:rsidRDefault="00000000">
      <w:pPr>
        <w:spacing w:before="80" w:after="80"/>
      </w:pPr>
      <w:r>
        <w:t>The architecture is deliberate and largely effective — through activation. The failure is precise: the system stalls at the expansion stage, exactly where the revenue opportunity is highest.</w:t>
      </w:r>
    </w:p>
    <w:p w14:paraId="79335671" w14:textId="77777777" w:rsidR="00B41BDB" w:rsidRDefault="00B41BDB">
      <w:pPr>
        <w:spacing w:before="120"/>
      </w:pPr>
    </w:p>
    <w:p w14:paraId="41881FB1" w14:textId="77777777" w:rsidR="00B41BDB" w:rsidRDefault="00000000">
      <w:pPr>
        <w:spacing w:before="200" w:after="80"/>
      </w:pPr>
      <w:r>
        <w:rPr>
          <w:b/>
          <w:bCs/>
          <w:color w:val="0A0A0A"/>
          <w:sz w:val="28"/>
          <w:szCs w:val="28"/>
        </w:rPr>
        <w:t>Acquisition — Volume Without Monetization Pressure</w:t>
      </w:r>
    </w:p>
    <w:p w14:paraId="1E349FD8" w14:textId="77777777" w:rsidR="00B41BDB" w:rsidRDefault="00000000">
      <w:pPr>
        <w:spacing w:before="80" w:after="80"/>
      </w:pPr>
      <w:r>
        <w:t>The free CRM captures demand at scale. Unlimited contacts. Immediate usability. Strong standalone value. This is correct by design — the free layer exists to embed usage, not to monetize. It succeeds completely at that objective. This creates a compounding problem: users arrive trained to expect value without payment.</w:t>
      </w:r>
    </w:p>
    <w:p w14:paraId="63E4F370" w14:textId="77777777" w:rsidR="00B41BDB" w:rsidRDefault="00000000">
      <w:pPr>
        <w:spacing w:before="200" w:after="80"/>
      </w:pPr>
      <w:r>
        <w:rPr>
          <w:b/>
          <w:bCs/>
          <w:color w:val="0A0A0A"/>
          <w:sz w:val="28"/>
          <w:szCs w:val="28"/>
        </w:rPr>
        <w:t>Activation — Constraint-Triggered, Not Value-Triggered</w:t>
      </w:r>
    </w:p>
    <w:p w14:paraId="615C04F3" w14:textId="77777777" w:rsidR="00B41BDB" w:rsidRDefault="00000000">
      <w:pPr>
        <w:spacing w:before="80" w:after="80"/>
      </w:pPr>
      <w:r>
        <w:t>Users reach initial value quickly. The only upgrade pressure comes from hard limits — two-seat cap, no workflows. This forces a reactive upgrade driven by constraint, not realized value. This leads to a foundational issue: the first monetization moment trains users to associate payment with restriction removal, not capability expansion. Average initial ARPU of ~$11,600 reflects this — single-hub, single-use-case adoption.</w:t>
      </w:r>
    </w:p>
    <w:p w14:paraId="2236C262" w14:textId="77777777" w:rsidR="00B41BDB" w:rsidRDefault="00000000">
      <w:pPr>
        <w:spacing w:before="200" w:after="80"/>
      </w:pPr>
      <w:r>
        <w:rPr>
          <w:b/>
          <w:bCs/>
          <w:color w:val="0A0A0A"/>
          <w:sz w:val="28"/>
          <w:szCs w:val="28"/>
        </w:rPr>
        <w:t>Usage — Deep Dependency, Siloed by Design</w:t>
      </w:r>
    </w:p>
    <w:p w14:paraId="29CBF6DB" w14:textId="77777777" w:rsidR="00B41BDB" w:rsidRDefault="00000000">
      <w:pPr>
        <w:spacing w:before="80" w:after="80"/>
      </w:pPr>
      <w:r>
        <w:t>Paid teams build genuine operational dependency — campaigns, pipelines, support workflows. Usage becomes mission-critical. It also stays confined within the initial hub. There are minimal cross-hub prompts. No system logic surfaces what adjacent products would solve next. This compounds into the expansion gap: every day of siloed usage is a missed expansion event.</w:t>
      </w:r>
    </w:p>
    <w:p w14:paraId="10C9ED74" w14:textId="77777777" w:rsidR="00B41BDB" w:rsidRDefault="00000000">
      <w:pPr>
        <w:spacing w:before="200" w:after="80"/>
      </w:pPr>
      <w:r>
        <w:rPr>
          <w:b/>
          <w:bCs/>
          <w:color w:val="0A0A0A"/>
          <w:sz w:val="28"/>
          <w:szCs w:val="28"/>
        </w:rPr>
        <w:t>Expansion — High Potential, Architecture Doesn't Match</w:t>
      </w:r>
    </w:p>
    <w:p w14:paraId="2DA72FF7" w14:textId="77777777" w:rsidR="00B41BDB" w:rsidRDefault="00000000">
      <w:pPr>
        <w:spacing w:before="80" w:after="80"/>
      </w:pPr>
      <w:r>
        <w:t>About 62% of new Pro+ customers arrived multi-hub in 2025. Among existing customers, ~40% of ARR comes from accounts with four or more hubs. Multi-hub customers generate materially higher ACV. The expansion signal is unambiguous — and it is generating zero automated response.</w:t>
      </w:r>
    </w:p>
    <w:p w14:paraId="01E7F2BF" w14:textId="77777777" w:rsidR="00B41BDB" w:rsidRDefault="00B41BDB">
      <w:pPr>
        <w:spacing w:before="80"/>
      </w:pPr>
    </w:p>
    <w:p w14:paraId="3A583EF6" w14:textId="77777777" w:rsidR="00B41BDB" w:rsidRDefault="00000000">
      <w:pPr>
        <w:spacing w:before="80" w:after="80"/>
      </w:pPr>
      <w:r>
        <w:t>HubSpot's own investment in an AI cross-sell tool for sales reps confirms the structural gap: expansion requires human intervention because the product does not trigger it automatically.</w:t>
      </w:r>
    </w:p>
    <w:p w14:paraId="66743856" w14:textId="77777777" w:rsidR="00B41BDB" w:rsidRDefault="00B41BDB">
      <w:pPr>
        <w:spacing w:before="140"/>
      </w:pPr>
    </w:p>
    <w:p w14:paraId="7F5E4321" w14:textId="77777777" w:rsidR="00E8340B" w:rsidRDefault="00E8340B">
      <w:pPr>
        <w:spacing w:before="140"/>
      </w:pPr>
    </w:p>
    <w:p w14:paraId="2D7ACB85" w14:textId="77777777" w:rsidR="00E8340B" w:rsidRDefault="00E8340B">
      <w:pPr>
        <w:spacing w:before="140"/>
      </w:pPr>
    </w:p>
    <w:p w14:paraId="218A2E08" w14:textId="77777777" w:rsidR="00E8340B" w:rsidRDefault="00E8340B">
      <w:pPr>
        <w:spacing w:before="140"/>
      </w:pPr>
    </w:p>
    <w:p w14:paraId="2BEDFFB2" w14:textId="77777777" w:rsidR="00E8340B" w:rsidRDefault="00E8340B">
      <w:pPr>
        <w:spacing w:before="140"/>
      </w:pPr>
    </w:p>
    <w:p w14:paraId="48D3BECE" w14:textId="77777777" w:rsidR="00E8340B" w:rsidRDefault="00E8340B">
      <w:pPr>
        <w:spacing w:before="140"/>
      </w:pPr>
    </w:p>
    <w:p w14:paraId="3AD624E8" w14:textId="77777777" w:rsidR="00E8340B" w:rsidRDefault="00E8340B">
      <w:pPr>
        <w:spacing w:before="140"/>
      </w:pPr>
    </w:p>
    <w:p w14:paraId="35540C3E" w14:textId="77777777" w:rsidR="00E8340B" w:rsidRDefault="00E8340B">
      <w:pPr>
        <w:spacing w:before="140"/>
      </w:pPr>
    </w:p>
    <w:p w14:paraId="1A320EA7" w14:textId="77777777" w:rsidR="00E8340B" w:rsidRDefault="00E8340B">
      <w:pPr>
        <w:spacing w:before="140"/>
      </w:pPr>
    </w:p>
    <w:p w14:paraId="08B570BD" w14:textId="77777777" w:rsidR="00E8340B" w:rsidRDefault="00E8340B">
      <w:pPr>
        <w:spacing w:before="140"/>
      </w:pPr>
    </w:p>
    <w:p w14:paraId="13A22B57" w14:textId="77777777" w:rsidR="00B41BDB" w:rsidRDefault="00000000">
      <w:pPr>
        <w:spacing w:before="160" w:after="60"/>
      </w:pPr>
      <w:r>
        <w:rPr>
          <w:b/>
          <w:bCs/>
          <w:color w:val="666666"/>
          <w:spacing w:val="120"/>
          <w:sz w:val="17"/>
          <w:szCs w:val="17"/>
        </w:rPr>
        <w:lastRenderedPageBreak/>
        <w:t>FIGURE 02  ·  CURRENT VS. OPTIMIZED REVENUE FUNNEL</w:t>
      </w:r>
    </w:p>
    <w:p w14:paraId="39D16488" w14:textId="423C99E4" w:rsidR="00B41BDB" w:rsidRDefault="00E8340B" w:rsidP="00E8340B">
      <w:pPr>
        <w:spacing w:before="240"/>
        <w:jc w:val="center"/>
      </w:pPr>
      <w:r>
        <w:rPr>
          <w:noProof/>
        </w:rPr>
        <w:drawing>
          <wp:inline distT="0" distB="0" distL="0" distR="0" wp14:anchorId="29E89CF7" wp14:editId="5BDA811A">
            <wp:extent cx="5400000" cy="2974576"/>
            <wp:effectExtent l="0" t="0" r="0" b="0"/>
            <wp:docPr id="882113379" name="Picture 882113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97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79BD9" w14:textId="0EA9A1EB" w:rsidR="00E8340B" w:rsidRDefault="00E8340B" w:rsidP="00E8340B">
      <w:pPr>
        <w:spacing w:before="240"/>
        <w:jc w:val="center"/>
      </w:pPr>
      <w:r>
        <w:rPr>
          <w:color w:val="6B7280"/>
          <w:sz w:val="18"/>
          <w:szCs w:val="18"/>
        </w:rPr>
        <w:t>Current system: expansion depends on sales intervention. Optimized system: usage signals drive automatic expansion triggers.</w:t>
      </w:r>
    </w:p>
    <w:p w14:paraId="310A7F10" w14:textId="77777777" w:rsidR="00B41BDB" w:rsidRDefault="00000000">
      <w:r>
        <w:br w:type="page"/>
      </w:r>
    </w:p>
    <w:p w14:paraId="7AB9517D" w14:textId="77777777" w:rsidR="00B41BDB" w:rsidRDefault="00000000">
      <w:pPr>
        <w:spacing w:before="360" w:after="80"/>
      </w:pPr>
      <w:r>
        <w:rPr>
          <w:b/>
          <w:bCs/>
          <w:color w:val="D4280A"/>
          <w:spacing w:val="150"/>
          <w:sz w:val="17"/>
          <w:szCs w:val="17"/>
        </w:rPr>
        <w:lastRenderedPageBreak/>
        <w:t>04 / REVENUE LEAKS</w:t>
      </w:r>
    </w:p>
    <w:p w14:paraId="32782FF5" w14:textId="77777777" w:rsidR="00B41BDB" w:rsidRDefault="00000000">
      <w:pPr>
        <w:spacing w:before="60" w:after="180"/>
      </w:pPr>
      <w:r>
        <w:rPr>
          <w:b/>
          <w:bCs/>
          <w:color w:val="0A0A0A"/>
          <w:sz w:val="52"/>
          <w:szCs w:val="52"/>
        </w:rPr>
        <w:t>Four Leak Points. One Root Cause.</w:t>
      </w:r>
    </w:p>
    <w:p w14:paraId="47D4941C" w14:textId="77777777" w:rsidR="00B41BDB" w:rsidRDefault="00000000">
      <w:pPr>
        <w:spacing w:before="80" w:after="80"/>
      </w:pPr>
      <w:r>
        <w:t>The failures are not isolated. Each traces back to the same structural absence: a system that observes value creation but does not act on it.</w:t>
      </w:r>
    </w:p>
    <w:p w14:paraId="4142C24D" w14:textId="77777777" w:rsidR="00B41BDB" w:rsidRDefault="00B41BDB">
      <w:pPr>
        <w:spacing w:before="140"/>
      </w:pPr>
    </w:p>
    <w:p w14:paraId="3924CC6E" w14:textId="77777777" w:rsidR="00B41BDB" w:rsidRDefault="00000000">
      <w:pPr>
        <w:spacing w:before="160" w:after="60"/>
      </w:pPr>
      <w:r>
        <w:rPr>
          <w:b/>
          <w:bCs/>
          <w:color w:val="666666"/>
          <w:spacing w:val="120"/>
          <w:sz w:val="17"/>
          <w:szCs w:val="17"/>
        </w:rPr>
        <w:t>FIGURE 03  ·  REVENUE LEAK MAP</w:t>
      </w:r>
    </w:p>
    <w:p w14:paraId="3CE8E7E7" w14:textId="6BC159F5" w:rsidR="00B41BDB" w:rsidRDefault="00E8340B" w:rsidP="00E8340B">
      <w:pPr>
        <w:spacing w:before="140"/>
        <w:jc w:val="center"/>
      </w:pPr>
      <w:r>
        <w:rPr>
          <w:noProof/>
        </w:rPr>
        <w:drawing>
          <wp:inline distT="0" distB="0" distL="0" distR="0" wp14:anchorId="73A50D41" wp14:editId="1DFA5D31">
            <wp:extent cx="5400000" cy="2791525"/>
            <wp:effectExtent l="0" t="0" r="0" b="8890"/>
            <wp:docPr id="1646262139" name="Picture 1646262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79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6C2E1" w14:textId="0DF46252" w:rsidR="00E8340B" w:rsidRDefault="00E8340B" w:rsidP="00E8340B">
      <w:pPr>
        <w:spacing w:before="140"/>
        <w:jc w:val="center"/>
      </w:pPr>
      <w:r>
        <w:rPr>
          <w:color w:val="6B7280"/>
          <w:sz w:val="18"/>
          <w:szCs w:val="18"/>
        </w:rPr>
        <w:t>Four discrete leak points across the funnel — each rooted in the absence of product-led expansion logic.</w:t>
      </w:r>
    </w:p>
    <w:p w14:paraId="69FC6EA5" w14:textId="77777777" w:rsidR="00E8340B" w:rsidRDefault="00E8340B">
      <w:pPr>
        <w:spacing w:before="1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8720"/>
      </w:tblGrid>
      <w:tr w:rsidR="00B41BDB" w14:paraId="223CA0CF" w14:textId="77777777">
        <w:tblPrEx>
          <w:tblCellMar>
            <w:top w:w="0" w:type="dxa"/>
            <w:bottom w:w="0" w:type="dxa"/>
          </w:tblCellMar>
        </w:tblPrEx>
        <w:tc>
          <w:tcPr>
            <w:tcW w:w="64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D4280A"/>
            <w:tcMar>
              <w:top w:w="200" w:type="dxa"/>
              <w:left w:w="160" w:type="dxa"/>
              <w:bottom w:w="200" w:type="dxa"/>
              <w:right w:w="160" w:type="dxa"/>
            </w:tcMar>
            <w:vAlign w:val="center"/>
          </w:tcPr>
          <w:p w14:paraId="4E156C46" w14:textId="77777777" w:rsidR="00B41BDB" w:rsidRDefault="00000000">
            <w:pPr>
              <w:jc w:val="center"/>
            </w:pPr>
            <w:r>
              <w:rPr>
                <w:b/>
                <w:bCs/>
                <w:color w:val="FFFFFF"/>
                <w:sz w:val="28"/>
                <w:szCs w:val="28"/>
              </w:rPr>
              <w:t>01</w:t>
            </w:r>
          </w:p>
        </w:tc>
        <w:tc>
          <w:tcPr>
            <w:tcW w:w="872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FFFFF"/>
            <w:tcMar>
              <w:top w:w="180" w:type="dxa"/>
              <w:left w:w="280" w:type="dxa"/>
              <w:bottom w:w="180" w:type="dxa"/>
              <w:right w:w="280" w:type="dxa"/>
            </w:tcMar>
          </w:tcPr>
          <w:p w14:paraId="26E78DBA" w14:textId="77777777" w:rsidR="00B41BDB" w:rsidRDefault="00000000">
            <w:pPr>
              <w:spacing w:after="80"/>
            </w:pPr>
            <w:r>
              <w:rPr>
                <w:b/>
                <w:bCs/>
                <w:color w:val="0A0A0A"/>
                <w:sz w:val="24"/>
                <w:szCs w:val="24"/>
              </w:rPr>
              <w:t>No Product-Led Expansion Engine</w:t>
            </w:r>
          </w:p>
          <w:p w14:paraId="1C34D950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Heavy campaign volume generates no Marketing Pro prompt. Growing teams trigger no dynamic hub suggestion.</w:t>
            </w:r>
          </w:p>
          <w:p w14:paraId="32818324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The product watches. It does not act.</w:t>
            </w:r>
          </w:p>
          <w:p w14:paraId="2D90D4F2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HubSpot runs a product-led acquisition model on top of a sales-led expansion model. That structural contradiction creates a compounding gap: high product usage does not automatically produce revenue expansion.</w:t>
            </w:r>
          </w:p>
          <w:p w14:paraId="28460BBA" w14:textId="77777777" w:rsidR="00B41BDB" w:rsidRDefault="00000000">
            <w:pPr>
              <w:spacing w:before="100"/>
            </w:pPr>
            <w:r>
              <w:rPr>
                <w:b/>
                <w:bCs/>
                <w:color w:val="D4280A"/>
                <w:sz w:val="20"/>
                <w:szCs w:val="20"/>
              </w:rPr>
              <w:t>Revenue impact: a 5–10% shift toward product-driven expansion unlocks $100M+ ARR through ARPU lift and NRR improvement.</w:t>
            </w:r>
          </w:p>
        </w:tc>
      </w:tr>
    </w:tbl>
    <w:p w14:paraId="0AF1EE8F" w14:textId="77777777" w:rsidR="00B41BDB" w:rsidRDefault="00B41BDB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8720"/>
      </w:tblGrid>
      <w:tr w:rsidR="00B41BDB" w14:paraId="11A66B84" w14:textId="77777777">
        <w:tblPrEx>
          <w:tblCellMar>
            <w:top w:w="0" w:type="dxa"/>
            <w:bottom w:w="0" w:type="dxa"/>
          </w:tblCellMar>
        </w:tblPrEx>
        <w:tc>
          <w:tcPr>
            <w:tcW w:w="64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D4280A"/>
            <w:tcMar>
              <w:top w:w="200" w:type="dxa"/>
              <w:left w:w="160" w:type="dxa"/>
              <w:bottom w:w="200" w:type="dxa"/>
              <w:right w:w="160" w:type="dxa"/>
            </w:tcMar>
            <w:vAlign w:val="center"/>
          </w:tcPr>
          <w:p w14:paraId="7E5990C1" w14:textId="77777777" w:rsidR="00B41BDB" w:rsidRDefault="00000000">
            <w:pPr>
              <w:jc w:val="center"/>
            </w:pPr>
            <w:r>
              <w:rPr>
                <w:b/>
                <w:bCs/>
                <w:color w:val="FFFFFF"/>
                <w:sz w:val="28"/>
                <w:szCs w:val="28"/>
              </w:rPr>
              <w:t>02</w:t>
            </w:r>
          </w:p>
        </w:tc>
        <w:tc>
          <w:tcPr>
            <w:tcW w:w="872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FFFFF"/>
            <w:tcMar>
              <w:top w:w="180" w:type="dxa"/>
              <w:left w:w="280" w:type="dxa"/>
              <w:bottom w:w="180" w:type="dxa"/>
              <w:right w:w="280" w:type="dxa"/>
            </w:tcMar>
          </w:tcPr>
          <w:p w14:paraId="4D132DC7" w14:textId="77777777" w:rsidR="00B41BDB" w:rsidRDefault="00000000">
            <w:pPr>
              <w:spacing w:after="80"/>
            </w:pPr>
            <w:r>
              <w:rPr>
                <w:b/>
                <w:bCs/>
                <w:color w:val="0A0A0A"/>
                <w:sz w:val="24"/>
                <w:szCs w:val="24"/>
              </w:rPr>
              <w:t>Expansion Depends on Human Intervention</w:t>
            </w:r>
          </w:p>
          <w:p w14:paraId="73D01A42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Growth beyond the initial hub is not systemized. It is triggered during renewals, account reviews, or partner check-ins.</w:t>
            </w:r>
          </w:p>
          <w:p w14:paraId="118C568F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NRR has stabilized at 102–105%, down from ~115% in 2021. That compression is the direct financial signature of this failure — expansion is slowing relative to usage depth.</w:t>
            </w:r>
          </w:p>
          <w:p w14:paraId="4FE153BC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A scalable SaaS revenue system converts usage into revenue without requiring human intervention at every step. HubSpot's current model inverts this.</w:t>
            </w:r>
          </w:p>
          <w:p w14:paraId="12563E73" w14:textId="77777777" w:rsidR="00B41BDB" w:rsidRDefault="00000000">
            <w:pPr>
              <w:spacing w:before="100"/>
            </w:pPr>
            <w:r>
              <w:rPr>
                <w:b/>
                <w:bCs/>
                <w:color w:val="D4280A"/>
                <w:sz w:val="20"/>
                <w:szCs w:val="20"/>
              </w:rPr>
              <w:t>Revenue impact: every quarter without automated expansion logic is a quarter of compounding NRR degradation.</w:t>
            </w:r>
          </w:p>
        </w:tc>
      </w:tr>
    </w:tbl>
    <w:p w14:paraId="38776119" w14:textId="77777777" w:rsidR="00B41BDB" w:rsidRDefault="00B41BDB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8720"/>
      </w:tblGrid>
      <w:tr w:rsidR="00B41BDB" w14:paraId="16510ABD" w14:textId="77777777">
        <w:tblPrEx>
          <w:tblCellMar>
            <w:top w:w="0" w:type="dxa"/>
            <w:bottom w:w="0" w:type="dxa"/>
          </w:tblCellMar>
        </w:tblPrEx>
        <w:tc>
          <w:tcPr>
            <w:tcW w:w="64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D4280A"/>
            <w:tcMar>
              <w:top w:w="200" w:type="dxa"/>
              <w:left w:w="160" w:type="dxa"/>
              <w:bottom w:w="200" w:type="dxa"/>
              <w:right w:w="160" w:type="dxa"/>
            </w:tcMar>
            <w:vAlign w:val="center"/>
          </w:tcPr>
          <w:p w14:paraId="56D4D41F" w14:textId="77777777" w:rsidR="00B41BDB" w:rsidRDefault="00000000">
            <w:pPr>
              <w:jc w:val="center"/>
            </w:pPr>
            <w:r>
              <w:rPr>
                <w:b/>
                <w:bCs/>
                <w:color w:val="FFFFFF"/>
                <w:sz w:val="28"/>
                <w:szCs w:val="28"/>
              </w:rPr>
              <w:t>03</w:t>
            </w:r>
          </w:p>
        </w:tc>
        <w:tc>
          <w:tcPr>
            <w:tcW w:w="872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FFFFF"/>
            <w:tcMar>
              <w:top w:w="180" w:type="dxa"/>
              <w:left w:w="280" w:type="dxa"/>
              <w:bottom w:w="180" w:type="dxa"/>
              <w:right w:w="280" w:type="dxa"/>
            </w:tcMar>
          </w:tcPr>
          <w:p w14:paraId="3DDA9383" w14:textId="77777777" w:rsidR="00B41BDB" w:rsidRDefault="00000000">
            <w:pPr>
              <w:spacing w:after="80"/>
            </w:pPr>
            <w:r>
              <w:rPr>
                <w:b/>
                <w:bCs/>
                <w:color w:val="0A0A0A"/>
                <w:sz w:val="24"/>
                <w:szCs w:val="24"/>
              </w:rPr>
              <w:t>Pricing Architecture Blocks Incremental Expansion</w:t>
            </w:r>
          </w:p>
          <w:p w14:paraId="0559D1CC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Starter-to-Pro jumps are non-linear. Hub additions are all-or-nothing decisions. Individual features are gated behind full-tier purchases — forcing workarounds over upgrades.</w:t>
            </w:r>
          </w:p>
          <w:p w14:paraId="61D24457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 xml:space="preserve">Customers are </w:t>
            </w:r>
            <w:proofErr w:type="spellStart"/>
            <w:r>
              <w:rPr>
                <w:sz w:val="20"/>
                <w:szCs w:val="20"/>
              </w:rPr>
              <w:t>behaviorally</w:t>
            </w:r>
            <w:proofErr w:type="spellEnd"/>
            <w:r>
              <w:rPr>
                <w:sz w:val="20"/>
                <w:szCs w:val="20"/>
              </w:rPr>
              <w:t xml:space="preserve"> willing to expand gradually. The pricing architecture forces episodic, high-commitment decisions. This creates stalled accounts: high usage, flat revenue, no proportionate pathway forward.</w:t>
            </w:r>
          </w:p>
          <w:p w14:paraId="5A94B783" w14:textId="77777777" w:rsidR="00B41BDB" w:rsidRDefault="00000000">
            <w:pPr>
              <w:spacing w:before="100"/>
            </w:pPr>
            <w:r>
              <w:rPr>
                <w:b/>
                <w:bCs/>
                <w:color w:val="D4280A"/>
                <w:sz w:val="20"/>
                <w:szCs w:val="20"/>
              </w:rPr>
              <w:t>Revenue impact: mid-tier accounts that should micro-expand systematically stay flat. The pricing structure actively suppresses expansion velocity.</w:t>
            </w:r>
          </w:p>
        </w:tc>
      </w:tr>
    </w:tbl>
    <w:p w14:paraId="3E15A896" w14:textId="77777777" w:rsidR="00B41BDB" w:rsidRDefault="00B41BDB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40"/>
        <w:gridCol w:w="8720"/>
      </w:tblGrid>
      <w:tr w:rsidR="00B41BDB" w14:paraId="75386496" w14:textId="77777777">
        <w:tblPrEx>
          <w:tblCellMar>
            <w:top w:w="0" w:type="dxa"/>
            <w:bottom w:w="0" w:type="dxa"/>
          </w:tblCellMar>
        </w:tblPrEx>
        <w:tc>
          <w:tcPr>
            <w:tcW w:w="64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D4280A"/>
            <w:tcMar>
              <w:top w:w="200" w:type="dxa"/>
              <w:left w:w="160" w:type="dxa"/>
              <w:bottom w:w="200" w:type="dxa"/>
              <w:right w:w="160" w:type="dxa"/>
            </w:tcMar>
            <w:vAlign w:val="center"/>
          </w:tcPr>
          <w:p w14:paraId="5FF1579C" w14:textId="77777777" w:rsidR="00B41BDB" w:rsidRDefault="00000000">
            <w:pPr>
              <w:jc w:val="center"/>
            </w:pPr>
            <w:r>
              <w:rPr>
                <w:b/>
                <w:bCs/>
                <w:color w:val="FFFFFF"/>
                <w:sz w:val="28"/>
                <w:szCs w:val="28"/>
              </w:rPr>
              <w:t>04</w:t>
            </w:r>
          </w:p>
        </w:tc>
        <w:tc>
          <w:tcPr>
            <w:tcW w:w="8720" w:type="dxa"/>
            <w:tcBorders>
              <w:top w:val="single" w:sz="1" w:space="0" w:color="E0E0E0"/>
              <w:left w:val="single" w:sz="1" w:space="0" w:color="E0E0E0"/>
              <w:bottom w:val="single" w:sz="1" w:space="0" w:color="E0E0E0"/>
              <w:right w:val="single" w:sz="1" w:space="0" w:color="E0E0E0"/>
            </w:tcBorders>
            <w:shd w:val="clear" w:color="auto" w:fill="FFFFFF"/>
            <w:tcMar>
              <w:top w:w="180" w:type="dxa"/>
              <w:left w:w="280" w:type="dxa"/>
              <w:bottom w:w="180" w:type="dxa"/>
              <w:right w:w="280" w:type="dxa"/>
            </w:tcMar>
          </w:tcPr>
          <w:p w14:paraId="48BAE2B3" w14:textId="77777777" w:rsidR="00B41BDB" w:rsidRDefault="00000000">
            <w:pPr>
              <w:spacing w:after="80"/>
            </w:pPr>
            <w:r>
              <w:rPr>
                <w:b/>
                <w:bCs/>
                <w:color w:val="0A0A0A"/>
                <w:sz w:val="24"/>
                <w:szCs w:val="24"/>
              </w:rPr>
              <w:t>Signals Accumulate — Then Expire</w:t>
            </w:r>
          </w:p>
          <w:p w14:paraId="4497BD80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Usage data is rich. Product signals are real. The system does not translate observed behavior into monetization actions in real time.</w:t>
            </w:r>
          </w:p>
          <w:p w14:paraId="0C4DB47D" w14:textId="77777777" w:rsidR="00B41BDB" w:rsidRDefault="00000000">
            <w:pPr>
              <w:spacing w:before="40" w:after="40"/>
            </w:pPr>
            <w:r>
              <w:rPr>
                <w:sz w:val="20"/>
                <w:szCs w:val="20"/>
              </w:rPr>
              <w:t>In a high-performing expansion system, every high-value signal triggers a monetization action automatically. In HubSpot's system, signals inform a sales meeting — eventually, inconsistently, only when someone is paying attention.</w:t>
            </w:r>
          </w:p>
          <w:p w14:paraId="1C11E2D9" w14:textId="77777777" w:rsidR="00B41BDB" w:rsidRDefault="00000000">
            <w:pPr>
              <w:spacing w:before="100"/>
            </w:pPr>
            <w:r>
              <w:rPr>
                <w:b/>
                <w:bCs/>
                <w:color w:val="D4280A"/>
                <w:sz w:val="20"/>
                <w:szCs w:val="20"/>
              </w:rPr>
              <w:t>Revenue impact: slower expansion cycles, lower conversion from usage to revenue, permanent suppression of the compounding effect across the customer base.</w:t>
            </w:r>
          </w:p>
        </w:tc>
      </w:tr>
    </w:tbl>
    <w:p w14:paraId="0F77D2D2" w14:textId="77777777" w:rsidR="00B41BDB" w:rsidRDefault="00B41BDB">
      <w:pPr>
        <w:spacing w:before="100"/>
      </w:pPr>
    </w:p>
    <w:p w14:paraId="02DF6D60" w14:textId="77777777" w:rsidR="00B41BDB" w:rsidRDefault="00B41BDB">
      <w:pPr>
        <w:spacing w:before="240"/>
      </w:pPr>
    </w:p>
    <w:p w14:paraId="5073C05C" w14:textId="77777777" w:rsidR="00B41BDB" w:rsidRDefault="00000000">
      <w:r>
        <w:br w:type="page"/>
      </w:r>
    </w:p>
    <w:p w14:paraId="03A76404" w14:textId="77777777" w:rsidR="00B41BDB" w:rsidRDefault="00000000">
      <w:pPr>
        <w:spacing w:before="360" w:after="80"/>
      </w:pPr>
      <w:r>
        <w:rPr>
          <w:b/>
          <w:bCs/>
          <w:color w:val="D4280A"/>
          <w:spacing w:val="150"/>
          <w:sz w:val="17"/>
          <w:szCs w:val="17"/>
        </w:rPr>
        <w:lastRenderedPageBreak/>
        <w:t>05 / STRUCTURAL PROBLEM</w:t>
      </w:r>
    </w:p>
    <w:p w14:paraId="47B4A8B9" w14:textId="77777777" w:rsidR="00B41BDB" w:rsidRDefault="00000000">
      <w:pPr>
        <w:spacing w:before="60" w:after="180"/>
      </w:pPr>
      <w:r>
        <w:rPr>
          <w:b/>
          <w:bCs/>
          <w:color w:val="0A0A0A"/>
          <w:sz w:val="52"/>
          <w:szCs w:val="52"/>
        </w:rPr>
        <w:t>One Failure. Four Symptoms.</w:t>
      </w:r>
    </w:p>
    <w:p w14:paraId="78B98EAE" w14:textId="77777777" w:rsidR="00B41BDB" w:rsidRDefault="00000000">
      <w:pPr>
        <w:spacing w:before="80" w:after="80"/>
      </w:pPr>
      <w:r>
        <w:t>The four leaks are not independent problems. They are four expressions of a single architectural failure: the absence of an automated Signal → Monetization conversion layer.</w:t>
      </w:r>
    </w:p>
    <w:p w14:paraId="01A3A260" w14:textId="77777777" w:rsidR="00B41BDB" w:rsidRDefault="00B41BDB">
      <w:pPr>
        <w:spacing w:before="10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B41BDB" w14:paraId="6DA5D13F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left w:val="single" w:sz="24" w:space="0" w:color="D4280A"/>
            </w:tcBorders>
            <w:shd w:val="clear" w:color="auto" w:fill="111111"/>
            <w:tcMar>
              <w:top w:w="260" w:type="dxa"/>
              <w:left w:w="400" w:type="dxa"/>
              <w:bottom w:w="260" w:type="dxa"/>
              <w:right w:w="280" w:type="dxa"/>
            </w:tcMar>
          </w:tcPr>
          <w:p w14:paraId="7D98E568" w14:textId="77777777" w:rsidR="00B41BDB" w:rsidRDefault="00000000">
            <w:r>
              <w:rPr>
                <w:b/>
                <w:bCs/>
                <w:i/>
                <w:iCs/>
                <w:color w:val="FFFFFF"/>
                <w:sz w:val="25"/>
                <w:szCs w:val="25"/>
              </w:rPr>
              <w:t>HubSpot's expansion engine is passive by design. The system generates value continuously. It captures revenue inconsistently. The gap between the two is not a product gap or a demand gap — it is a revenue architecture gap.</w:t>
            </w:r>
          </w:p>
        </w:tc>
      </w:tr>
    </w:tbl>
    <w:p w14:paraId="0D595D0B" w14:textId="77777777" w:rsidR="00B41BDB" w:rsidRDefault="00B41BDB">
      <w:pPr>
        <w:spacing w:before="120"/>
      </w:pPr>
    </w:p>
    <w:p w14:paraId="38532BEA" w14:textId="77777777" w:rsidR="00B41BDB" w:rsidRDefault="00000000">
      <w:pPr>
        <w:spacing w:before="80" w:after="80"/>
      </w:pPr>
      <w:r>
        <w:t>Every high-value usage behavior — campaign volume, team growth, feature depth, cross-functional activity — is a monetization signal. In the current system, these signals arrive, accumulate, and wait for a human to act. In a well-architected revenue system, they trigger automatic, contextual, in-product monetization actions.</w:t>
      </w:r>
    </w:p>
    <w:p w14:paraId="69C87D55" w14:textId="77777777" w:rsidR="00B41BDB" w:rsidRDefault="00B41BDB">
      <w:pPr>
        <w:spacing w:before="80"/>
      </w:pPr>
    </w:p>
    <w:p w14:paraId="4B7D111A" w14:textId="77777777" w:rsidR="00B41BDB" w:rsidRDefault="00000000">
      <w:pPr>
        <w:spacing w:before="80" w:after="80"/>
      </w:pPr>
      <w:r>
        <w:t>That layer does not exist in HubSpot today.</w:t>
      </w:r>
    </w:p>
    <w:p w14:paraId="1805E984" w14:textId="77777777" w:rsidR="00B41BDB" w:rsidRDefault="00B41BDB">
      <w:pPr>
        <w:spacing w:before="1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B41BDB" w14:paraId="21074987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tcBorders>
              <w:top w:val="single" w:sz="2" w:space="0" w:color="E0E0E0"/>
              <w:left w:val="single" w:sz="20" w:space="0" w:color="D4280A"/>
              <w:bottom w:val="single" w:sz="2" w:space="0" w:color="E0E0E0"/>
            </w:tcBorders>
            <w:shd w:val="clear" w:color="auto" w:fill="F4F4F4"/>
            <w:tcMar>
              <w:top w:w="280" w:type="dxa"/>
              <w:left w:w="400" w:type="dxa"/>
              <w:bottom w:w="280" w:type="dxa"/>
              <w:right w:w="360" w:type="dxa"/>
            </w:tcMar>
          </w:tcPr>
          <w:p w14:paraId="35DC22FA" w14:textId="77777777" w:rsidR="00B41BDB" w:rsidRDefault="00000000">
            <w:pPr>
              <w:spacing w:after="140"/>
            </w:pPr>
            <w:r>
              <w:rPr>
                <w:b/>
                <w:bCs/>
                <w:i/>
                <w:iCs/>
                <w:color w:val="111111"/>
                <w:sz w:val="23"/>
                <w:szCs w:val="23"/>
              </w:rPr>
              <w:t>A product that generates signals but not revenue from them is a reporting tool with a pricing page attached.</w:t>
            </w:r>
          </w:p>
          <w:p w14:paraId="5936A93C" w14:textId="77777777" w:rsidR="00B41BDB" w:rsidRDefault="00000000">
            <w:r>
              <w:rPr>
                <w:b/>
                <w:bCs/>
                <w:i/>
                <w:iCs/>
                <w:color w:val="111111"/>
                <w:sz w:val="23"/>
                <w:szCs w:val="23"/>
              </w:rPr>
              <w:t>The highest-leverage growth in HubSpot's system already exists — inside accounts, inside usage patterns, inside signals that fire every day. It is simply not being captured.</w:t>
            </w:r>
          </w:p>
        </w:tc>
      </w:tr>
    </w:tbl>
    <w:p w14:paraId="2F9C74A5" w14:textId="77777777" w:rsidR="00B41BDB" w:rsidRDefault="00B41BDB">
      <w:pPr>
        <w:spacing w:before="240"/>
      </w:pPr>
    </w:p>
    <w:p w14:paraId="2033A50D" w14:textId="77777777" w:rsidR="00B41BDB" w:rsidRDefault="00000000">
      <w:r>
        <w:br w:type="page"/>
      </w:r>
    </w:p>
    <w:p w14:paraId="784FA5A8" w14:textId="77777777" w:rsidR="00B41BDB" w:rsidRDefault="00000000">
      <w:pPr>
        <w:spacing w:before="360" w:after="80"/>
      </w:pPr>
      <w:r>
        <w:rPr>
          <w:b/>
          <w:bCs/>
          <w:color w:val="D4280A"/>
          <w:spacing w:val="150"/>
          <w:sz w:val="17"/>
          <w:szCs w:val="17"/>
        </w:rPr>
        <w:lastRenderedPageBreak/>
        <w:t>06 / STRATEGIC RE-ARCHITECTURE</w:t>
      </w:r>
    </w:p>
    <w:p w14:paraId="2293183E" w14:textId="77777777" w:rsidR="00B41BDB" w:rsidRDefault="00000000">
      <w:pPr>
        <w:spacing w:before="60" w:after="180"/>
      </w:pPr>
      <w:r>
        <w:rPr>
          <w:b/>
          <w:bCs/>
          <w:color w:val="0A0A0A"/>
          <w:sz w:val="52"/>
          <w:szCs w:val="52"/>
        </w:rPr>
        <w:t>Five System-Level Fixes</w:t>
      </w:r>
    </w:p>
    <w:p w14:paraId="0015BFE5" w14:textId="77777777" w:rsidR="00B41BDB" w:rsidRDefault="00000000">
      <w:pPr>
        <w:spacing w:before="80" w:after="80"/>
      </w:pPr>
      <w:r>
        <w:t>These are not feature requests or marketing campaigns. They are structural changes to how HubSpot converts usage into revenue — each targeting a discrete failure in the current architecture.</w:t>
      </w:r>
    </w:p>
    <w:p w14:paraId="5D6F5E99" w14:textId="77777777" w:rsidR="00B41BDB" w:rsidRDefault="00B41BDB">
      <w:pPr>
        <w:spacing w:before="16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8"/>
        <w:gridCol w:w="4202"/>
      </w:tblGrid>
      <w:tr w:rsidR="00B41BDB" w14:paraId="02233202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360" w:type="dxa"/>
        </w:trPr>
        <w:tc>
          <w:tcPr>
            <w:tcW w:w="9360" w:type="dxa"/>
            <w:tcBorders>
              <w:top w:val="single" w:sz="1" w:space="0" w:color="E0E0E0"/>
              <w:left w:val="single" w:sz="1" w:space="0" w:color="E0E0E0"/>
              <w:bottom w:val="single" w:sz="4" w:space="0" w:color="111111"/>
              <w:right w:val="single" w:sz="1" w:space="0" w:color="E0E0E0"/>
            </w:tcBorders>
            <w:shd w:val="clear" w:color="auto" w:fill="111111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148D0C72" w14:textId="77777777" w:rsidR="00B41BDB" w:rsidRDefault="00000000">
            <w:r>
              <w:rPr>
                <w:b/>
                <w:bCs/>
                <w:color w:val="D4280A"/>
                <w:sz w:val="19"/>
                <w:szCs w:val="19"/>
              </w:rPr>
              <w:t xml:space="preserve">01  </w:t>
            </w:r>
            <w:r>
              <w:rPr>
                <w:b/>
                <w:bCs/>
                <w:color w:val="FFFFFF"/>
                <w:sz w:val="26"/>
                <w:szCs w:val="26"/>
              </w:rPr>
              <w:t>Build a Signal-to-Action Expansion Engine</w:t>
            </w:r>
          </w:p>
        </w:tc>
      </w:tr>
      <w:tr w:rsidR="00B41BDB" w14:paraId="2EC5FE8B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1B4219DF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SIGNAL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1E73AC2" w14:textId="77777777" w:rsidR="00B41BDB" w:rsidRDefault="00000000">
            <w:r>
              <w:t>Account crosses defined usage thresholds: campaign send volume, pipeline stage complexity, cross-functional page access, team seat growth.</w:t>
            </w:r>
          </w:p>
        </w:tc>
      </w:tr>
      <w:tr w:rsidR="00B41BDB" w14:paraId="61626BCA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7CC2DAB5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TRIGGER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A4D4524" w14:textId="77777777" w:rsidR="00B41BDB" w:rsidRDefault="00000000">
            <w:r>
              <w:t>Usage scoring engine detects threshold breach in real time. Score is evaluated against account tier and current hub composition.</w:t>
            </w:r>
          </w:p>
        </w:tc>
      </w:tr>
      <w:tr w:rsidR="00B41BDB" w14:paraId="391DEE9F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17CE0BF0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ACTION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6ACAAB6" w14:textId="77777777" w:rsidR="00B41BDB" w:rsidRDefault="00000000">
            <w:r>
              <w:t>In-product contextual prompt surfaces — framed to realized value, not restriction. High campaign volume → Marketing Pro upgrade. Pipeline complexity → Sales Hub expansion. Support interactions → Service Hub introduction. No sales rep required.</w:t>
            </w:r>
          </w:p>
        </w:tc>
      </w:tr>
      <w:tr w:rsidR="00B41BDB" w14:paraId="3299FFA7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4C580FD2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OUTCOME</w:t>
            </w:r>
          </w:p>
        </w:tc>
        <w:tc>
          <w:tcPr>
            <w:tcW w:w="7560" w:type="dxa"/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963BEC2" w14:textId="77777777" w:rsidR="00B41BDB" w:rsidRDefault="00000000">
            <w:r>
              <w:t>Automated expansion replaces the sales-intervention model for mid-tier accounts. Expansion velocity increases. NRR compounds quarterly without headcount growth.</w:t>
            </w:r>
          </w:p>
        </w:tc>
      </w:tr>
    </w:tbl>
    <w:p w14:paraId="58F18814" w14:textId="77777777" w:rsidR="00B41BDB" w:rsidRDefault="00B41BDB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94"/>
        <w:gridCol w:w="4166"/>
      </w:tblGrid>
      <w:tr w:rsidR="00B41BDB" w14:paraId="68510346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360" w:type="dxa"/>
        </w:trPr>
        <w:tc>
          <w:tcPr>
            <w:tcW w:w="9360" w:type="dxa"/>
            <w:tcBorders>
              <w:top w:val="single" w:sz="1" w:space="0" w:color="E0E0E0"/>
              <w:left w:val="single" w:sz="1" w:space="0" w:color="E0E0E0"/>
              <w:bottom w:val="single" w:sz="4" w:space="0" w:color="111111"/>
              <w:right w:val="single" w:sz="1" w:space="0" w:color="E0E0E0"/>
            </w:tcBorders>
            <w:shd w:val="clear" w:color="auto" w:fill="111111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44FE3C02" w14:textId="77777777" w:rsidR="00B41BDB" w:rsidRDefault="00000000">
            <w:r>
              <w:rPr>
                <w:b/>
                <w:bCs/>
                <w:color w:val="D4280A"/>
                <w:sz w:val="19"/>
                <w:szCs w:val="19"/>
              </w:rPr>
              <w:t xml:space="preserve">02  </w:t>
            </w:r>
            <w:r>
              <w:rPr>
                <w:b/>
                <w:bCs/>
                <w:color w:val="FFFFFF"/>
                <w:sz w:val="26"/>
                <w:szCs w:val="26"/>
              </w:rPr>
              <w:t>Shift to Lifecycle-Based Monetization</w:t>
            </w:r>
          </w:p>
        </w:tc>
      </w:tr>
      <w:tr w:rsidR="00B41BDB" w14:paraId="36401DA6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06F77983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SIGNAL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EFD4B56" w14:textId="77777777" w:rsidR="00B41BDB" w:rsidRDefault="00000000">
            <w:r>
              <w:t>User behavior maps to a customer lifecycle stage — lead generation, conversion, retention, or scaling — not just a product hub.</w:t>
            </w:r>
          </w:p>
        </w:tc>
      </w:tr>
      <w:tr w:rsidR="00B41BDB" w14:paraId="6938EAD9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54BE495D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TRIGGER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3114962" w14:textId="77777777" w:rsidR="00B41BDB" w:rsidRDefault="00000000">
            <w:r>
              <w:t>System detects lifecycle stage transition: usage patterns indicate a team moving from lead gen into active pipeline management.</w:t>
            </w:r>
          </w:p>
        </w:tc>
      </w:tr>
      <w:tr w:rsidR="00B41BDB" w14:paraId="0C1CFB7F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47967427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ACTION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1F2D687" w14:textId="77777777" w:rsidR="00B41BDB" w:rsidRDefault="00000000">
            <w:r>
              <w:t xml:space="preserve">Expansion offer surfaces as a natural lifecycle continuation — 'Your team is converting at scale. Here's what the next stage looks like.' Adjacent hub </w:t>
            </w:r>
            <w:r>
              <w:lastRenderedPageBreak/>
              <w:t>value is positioned as a workflow extension, not a separate product purchase.</w:t>
            </w:r>
          </w:p>
        </w:tc>
      </w:tr>
      <w:tr w:rsidR="00B41BDB" w14:paraId="699C21CD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4EE8F3C1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lastRenderedPageBreak/>
              <w:t>OUTCOME</w:t>
            </w:r>
          </w:p>
        </w:tc>
        <w:tc>
          <w:tcPr>
            <w:tcW w:w="7560" w:type="dxa"/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9DC0AEE" w14:textId="77777777" w:rsidR="00B41BDB" w:rsidRDefault="00000000">
            <w:r>
              <w:t>Removes artificial product boundaries from the expansion decision. Makes each upgrade feel proportionate and inevitable — not like a separate procurement event.</w:t>
            </w:r>
          </w:p>
        </w:tc>
      </w:tr>
    </w:tbl>
    <w:p w14:paraId="25C9B168" w14:textId="77777777" w:rsidR="00B41BDB" w:rsidRDefault="00B41BDB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54"/>
        <w:gridCol w:w="4206"/>
      </w:tblGrid>
      <w:tr w:rsidR="00B41BDB" w14:paraId="4BBA56F0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360" w:type="dxa"/>
        </w:trPr>
        <w:tc>
          <w:tcPr>
            <w:tcW w:w="9360" w:type="dxa"/>
            <w:tcBorders>
              <w:top w:val="single" w:sz="1" w:space="0" w:color="E0E0E0"/>
              <w:left w:val="single" w:sz="1" w:space="0" w:color="E0E0E0"/>
              <w:bottom w:val="single" w:sz="4" w:space="0" w:color="111111"/>
              <w:right w:val="single" w:sz="1" w:space="0" w:color="E0E0E0"/>
            </w:tcBorders>
            <w:shd w:val="clear" w:color="auto" w:fill="111111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45A7A6E4" w14:textId="77777777" w:rsidR="00B41BDB" w:rsidRDefault="00000000">
            <w:r>
              <w:rPr>
                <w:b/>
                <w:bCs/>
                <w:color w:val="D4280A"/>
                <w:sz w:val="19"/>
                <w:szCs w:val="19"/>
              </w:rPr>
              <w:t xml:space="preserve">03  </w:t>
            </w:r>
            <w:r>
              <w:rPr>
                <w:b/>
                <w:bCs/>
                <w:color w:val="FFFFFF"/>
                <w:sz w:val="26"/>
                <w:szCs w:val="26"/>
              </w:rPr>
              <w:t>Redesign Pricing for Incremental Expansion</w:t>
            </w:r>
          </w:p>
        </w:tc>
      </w:tr>
      <w:tr w:rsidR="00B41BDB" w14:paraId="44554C7F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46A6146C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SIGNAL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6C6A47E7" w14:textId="77777777" w:rsidR="00B41BDB" w:rsidRDefault="00000000">
            <w:r>
              <w:t>Account is using 70–90% of a feature's capacity, or repeatedly encountering feature gates without upgrade action.</w:t>
            </w:r>
          </w:p>
        </w:tc>
      </w:tr>
      <w:tr w:rsidR="00B41BDB" w14:paraId="00EC3DA5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17648D6A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TRIGGER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0791D6DB" w14:textId="77777777" w:rsidR="00B41BDB" w:rsidRDefault="00000000">
            <w:r>
              <w:t>System flags the account as a 'stalled expander' — willingness is present, the pricing commitment is the barrier.</w:t>
            </w:r>
          </w:p>
        </w:tc>
      </w:tr>
      <w:tr w:rsidR="00B41BDB" w14:paraId="2E1E0FAD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02058B42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ACTION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9BC0BD1" w14:textId="77777777" w:rsidR="00B41BDB" w:rsidRDefault="00000000">
            <w:r>
              <w:t>Modular unlock options surface: gradual feature access, flexible add-ons, usage-based components for contacts, automation runs, and seats. The decision is sized to the need, not to the full tier.</w:t>
            </w:r>
          </w:p>
        </w:tc>
      </w:tr>
      <w:tr w:rsidR="00B41BDB" w14:paraId="1704F3BC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524C3A9F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OUTCOME</w:t>
            </w:r>
          </w:p>
        </w:tc>
        <w:tc>
          <w:tcPr>
            <w:tcW w:w="7560" w:type="dxa"/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171D4FE" w14:textId="77777777" w:rsidR="00B41BDB" w:rsidRDefault="00000000">
            <w:r>
              <w:t>Converts stalled accounts into active expanders. Every proportionate expansion decision becomes a revenue event. Mid-tier ARPU increases without requiring customers to make large, low-confidence commitments.</w:t>
            </w:r>
          </w:p>
        </w:tc>
      </w:tr>
    </w:tbl>
    <w:p w14:paraId="34073682" w14:textId="77777777" w:rsidR="00B41BDB" w:rsidRDefault="00B41BDB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90"/>
        <w:gridCol w:w="4170"/>
      </w:tblGrid>
      <w:tr w:rsidR="00B41BDB" w14:paraId="388F0960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360" w:type="dxa"/>
        </w:trPr>
        <w:tc>
          <w:tcPr>
            <w:tcW w:w="9360" w:type="dxa"/>
            <w:tcBorders>
              <w:top w:val="single" w:sz="1" w:space="0" w:color="E0E0E0"/>
              <w:left w:val="single" w:sz="1" w:space="0" w:color="E0E0E0"/>
              <w:bottom w:val="single" w:sz="4" w:space="0" w:color="111111"/>
              <w:right w:val="single" w:sz="1" w:space="0" w:color="E0E0E0"/>
            </w:tcBorders>
            <w:shd w:val="clear" w:color="auto" w:fill="111111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13C2F072" w14:textId="77777777" w:rsidR="00B41BDB" w:rsidRDefault="00000000">
            <w:r>
              <w:rPr>
                <w:b/>
                <w:bCs/>
                <w:color w:val="D4280A"/>
                <w:sz w:val="19"/>
                <w:szCs w:val="19"/>
              </w:rPr>
              <w:t xml:space="preserve">04  </w:t>
            </w:r>
            <w:r>
              <w:rPr>
                <w:b/>
                <w:bCs/>
                <w:color w:val="FFFFFF"/>
                <w:sz w:val="26"/>
                <w:szCs w:val="26"/>
              </w:rPr>
              <w:t>Embed Expansion Pathways into Core Product Experience</w:t>
            </w:r>
          </w:p>
        </w:tc>
      </w:tr>
      <w:tr w:rsidR="00B41BDB" w14:paraId="4CEB24A9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6267780C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SIGNAL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36754BD6" w14:textId="77777777" w:rsidR="00B41BDB" w:rsidRDefault="00000000">
            <w:r>
              <w:t>User completes a high-value workflow action that has a direct adjacent capability — e.g., sends a campaign sequence, closes a pipeline deal, resolves a support ticket at volume.</w:t>
            </w:r>
          </w:p>
        </w:tc>
      </w:tr>
      <w:tr w:rsidR="00B41BDB" w14:paraId="204BB8A5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73EA5204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TRIGGER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F594F7F" w14:textId="77777777" w:rsidR="00B41BDB" w:rsidRDefault="00000000">
            <w:r>
              <w:t xml:space="preserve">System detects workflow completion and evaluates adjacency map — which </w:t>
            </w:r>
            <w:proofErr w:type="spellStart"/>
            <w:r>
              <w:t>neighboring</w:t>
            </w:r>
            <w:proofErr w:type="spellEnd"/>
            <w:r>
              <w:t xml:space="preserve"> hub or feature extends the value just realized.</w:t>
            </w:r>
          </w:p>
        </w:tc>
      </w:tr>
      <w:tr w:rsidR="00B41BDB" w14:paraId="1643FEE5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13F74F03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ACTION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19EDAFE" w14:textId="77777777" w:rsidR="00B41BDB" w:rsidRDefault="00000000">
            <w:r>
              <w:t xml:space="preserve">In-product guided pathway appears: embedded cross-hub visibility, trial exposure to adjacent hubs, one-click </w:t>
            </w:r>
            <w:r>
              <w:lastRenderedPageBreak/>
              <w:t>expansion option. The decision happens inside the product, not on a pricing page visited separately.</w:t>
            </w:r>
          </w:p>
        </w:tc>
      </w:tr>
      <w:tr w:rsidR="00B41BDB" w14:paraId="7D1D4116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499648A5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lastRenderedPageBreak/>
              <w:t>OUTCOME</w:t>
            </w:r>
          </w:p>
        </w:tc>
        <w:tc>
          <w:tcPr>
            <w:tcW w:w="7560" w:type="dxa"/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56DB749" w14:textId="77777777" w:rsidR="00B41BDB" w:rsidRDefault="00000000">
            <w:r>
              <w:t>Expansion becomes a continuation of product usage — not a separate commercial decision. Conversion rate from usage signal to revenue event increases materially.</w:t>
            </w:r>
          </w:p>
        </w:tc>
      </w:tr>
    </w:tbl>
    <w:p w14:paraId="6656D377" w14:textId="77777777" w:rsidR="00B41BDB" w:rsidRDefault="00B41BDB">
      <w:pPr>
        <w:spacing w:before="8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61"/>
        <w:gridCol w:w="4199"/>
      </w:tblGrid>
      <w:tr w:rsidR="00B41BDB" w14:paraId="64C87AB5" w14:textId="77777777">
        <w:tblPrEx>
          <w:tblCellMar>
            <w:top w:w="0" w:type="dxa"/>
            <w:bottom w:w="0" w:type="dxa"/>
          </w:tblCellMar>
        </w:tblPrEx>
        <w:trPr>
          <w:gridAfter w:val="1"/>
          <w:wAfter w:w="360" w:type="dxa"/>
        </w:trPr>
        <w:tc>
          <w:tcPr>
            <w:tcW w:w="9360" w:type="dxa"/>
            <w:tcBorders>
              <w:top w:val="single" w:sz="1" w:space="0" w:color="E0E0E0"/>
              <w:left w:val="single" w:sz="1" w:space="0" w:color="E0E0E0"/>
              <w:bottom w:val="single" w:sz="4" w:space="0" w:color="111111"/>
              <w:right w:val="single" w:sz="1" w:space="0" w:color="E0E0E0"/>
            </w:tcBorders>
            <w:shd w:val="clear" w:color="auto" w:fill="111111"/>
            <w:tcMar>
              <w:top w:w="160" w:type="dxa"/>
              <w:left w:w="280" w:type="dxa"/>
              <w:bottom w:w="160" w:type="dxa"/>
              <w:right w:w="280" w:type="dxa"/>
            </w:tcMar>
          </w:tcPr>
          <w:p w14:paraId="2BFB5A6B" w14:textId="77777777" w:rsidR="00B41BDB" w:rsidRDefault="00000000">
            <w:r>
              <w:rPr>
                <w:b/>
                <w:bCs/>
                <w:color w:val="D4280A"/>
                <w:sz w:val="19"/>
                <w:szCs w:val="19"/>
              </w:rPr>
              <w:t xml:space="preserve">05  </w:t>
            </w:r>
            <w:r>
              <w:rPr>
                <w:b/>
                <w:bCs/>
                <w:color w:val="FFFFFF"/>
                <w:sz w:val="26"/>
                <w:szCs w:val="26"/>
              </w:rPr>
              <w:t>Unify Product, Sales, and Data into a Revenue Architecture Layer</w:t>
            </w:r>
          </w:p>
        </w:tc>
      </w:tr>
      <w:tr w:rsidR="00B41BDB" w14:paraId="23D79CF2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7A1868A9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SIGNAL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157425B7" w14:textId="77777777" w:rsidR="00B41BDB" w:rsidRDefault="00000000">
            <w:r>
              <w:t xml:space="preserve">Product data identifies high-value expansion signals across the account base. Sales team has no systematic visibility into which accounts are </w:t>
            </w:r>
            <w:proofErr w:type="spellStart"/>
            <w:r>
              <w:t>signaling</w:t>
            </w:r>
            <w:proofErr w:type="spellEnd"/>
            <w:r>
              <w:t xml:space="preserve"> and when.</w:t>
            </w:r>
          </w:p>
        </w:tc>
      </w:tr>
      <w:tr w:rsidR="00B41BDB" w14:paraId="784398D3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21ACC3FC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TRIGGER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7BE76CBD" w14:textId="77777777" w:rsidR="00B41BDB" w:rsidRDefault="00000000">
            <w:r>
              <w:t>A unified expansion layer aggregates product signals, scores accounts by expansion readiness, and routes them: automatic monetization for low/mid-tier, prioritized sales queue for high-value or complex expansions.</w:t>
            </w:r>
          </w:p>
        </w:tc>
      </w:tr>
      <w:tr w:rsidR="00B41BDB" w14:paraId="49EB38C1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tcBorders>
              <w:bottom w:val="single" w:sz="1" w:space="0" w:color="E0E0E0"/>
            </w:tcBorders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544AD4C1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ACTION</w:t>
            </w:r>
          </w:p>
        </w:tc>
        <w:tc>
          <w:tcPr>
            <w:tcW w:w="7560" w:type="dxa"/>
            <w:tcBorders>
              <w:bottom w:val="single" w:sz="1" w:space="0" w:color="E0E0E0"/>
            </w:tcBorders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55D0E4ED" w14:textId="77777777" w:rsidR="00B41BDB" w:rsidRDefault="00000000">
            <w:r>
              <w:t>Low and mid-tier expansion happens automatically via in-product triggers. High-value expansions surface to sales with full signal context — account score, usage pattern, recommended next hub, optimal timing.</w:t>
            </w:r>
          </w:p>
        </w:tc>
      </w:tr>
      <w:tr w:rsidR="00B41BDB" w14:paraId="1BB937BE" w14:textId="77777777">
        <w:tblPrEx>
          <w:tblCellMar>
            <w:top w:w="0" w:type="dxa"/>
            <w:bottom w:w="0" w:type="dxa"/>
          </w:tblCellMar>
        </w:tblPrEx>
        <w:tc>
          <w:tcPr>
            <w:tcW w:w="1400" w:type="dxa"/>
            <w:shd w:val="clear" w:color="auto" w:fill="F4F4F4"/>
            <w:tcMar>
              <w:top w:w="100" w:type="dxa"/>
              <w:left w:w="200" w:type="dxa"/>
              <w:bottom w:w="100" w:type="dxa"/>
              <w:right w:w="120" w:type="dxa"/>
            </w:tcMar>
          </w:tcPr>
          <w:p w14:paraId="5FED2A17" w14:textId="77777777" w:rsidR="00B41BDB" w:rsidRDefault="00000000"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OUTCOME</w:t>
            </w:r>
          </w:p>
        </w:tc>
        <w:tc>
          <w:tcPr>
            <w:tcW w:w="7560" w:type="dxa"/>
            <w:shd w:val="clear" w:color="auto" w:fill="FFFFFF"/>
            <w:tcMar>
              <w:top w:w="100" w:type="dxa"/>
              <w:left w:w="200" w:type="dxa"/>
              <w:bottom w:w="100" w:type="dxa"/>
              <w:right w:w="200" w:type="dxa"/>
            </w:tcMar>
          </w:tcPr>
          <w:p w14:paraId="2874965D" w14:textId="77777777" w:rsidR="00B41BDB" w:rsidRDefault="00000000">
            <w:r>
              <w:t>Every account is actively expanding — not just the ones a sales rep happened to call. NRR becomes a managed, predictable metric rather than a lagging indicator.</w:t>
            </w:r>
          </w:p>
        </w:tc>
      </w:tr>
    </w:tbl>
    <w:p w14:paraId="2B9C3237" w14:textId="77777777" w:rsidR="00B41BDB" w:rsidRDefault="00B41BDB">
      <w:pPr>
        <w:spacing w:before="80"/>
      </w:pPr>
    </w:p>
    <w:p w14:paraId="223F38AE" w14:textId="77777777" w:rsidR="00B41BDB" w:rsidRDefault="00B41BDB">
      <w:pPr>
        <w:spacing w:before="80"/>
      </w:pPr>
    </w:p>
    <w:p w14:paraId="59DE3E92" w14:textId="77777777" w:rsidR="00E8340B" w:rsidRDefault="00E8340B">
      <w:pPr>
        <w:spacing w:before="80"/>
      </w:pPr>
    </w:p>
    <w:p w14:paraId="06C065FB" w14:textId="77777777" w:rsidR="00E8340B" w:rsidRDefault="00E8340B">
      <w:pPr>
        <w:spacing w:before="80"/>
      </w:pPr>
    </w:p>
    <w:p w14:paraId="245E1F8E" w14:textId="77777777" w:rsidR="00E8340B" w:rsidRDefault="00E8340B">
      <w:pPr>
        <w:spacing w:before="80"/>
      </w:pPr>
    </w:p>
    <w:p w14:paraId="3035DDAC" w14:textId="77777777" w:rsidR="00E8340B" w:rsidRDefault="00E8340B">
      <w:pPr>
        <w:spacing w:before="80"/>
      </w:pPr>
    </w:p>
    <w:p w14:paraId="32D103CB" w14:textId="77777777" w:rsidR="00E8340B" w:rsidRDefault="00E8340B">
      <w:pPr>
        <w:spacing w:before="80"/>
      </w:pPr>
    </w:p>
    <w:p w14:paraId="58B674CD" w14:textId="77777777" w:rsidR="00E8340B" w:rsidRDefault="00E8340B">
      <w:pPr>
        <w:spacing w:before="80"/>
      </w:pPr>
    </w:p>
    <w:p w14:paraId="599D5FCD" w14:textId="77777777" w:rsidR="00E8340B" w:rsidRDefault="00E8340B">
      <w:pPr>
        <w:spacing w:before="80"/>
      </w:pPr>
    </w:p>
    <w:p w14:paraId="5FB59F70" w14:textId="77777777" w:rsidR="00E8340B" w:rsidRDefault="00E8340B">
      <w:pPr>
        <w:spacing w:before="80"/>
      </w:pPr>
    </w:p>
    <w:p w14:paraId="3A889FB6" w14:textId="77777777" w:rsidR="00E8340B" w:rsidRDefault="00E8340B">
      <w:pPr>
        <w:spacing w:before="80"/>
      </w:pPr>
    </w:p>
    <w:p w14:paraId="6E6E36BC" w14:textId="77777777" w:rsidR="00B41BDB" w:rsidRDefault="00000000">
      <w:pPr>
        <w:spacing w:before="160" w:after="60"/>
      </w:pPr>
      <w:r>
        <w:rPr>
          <w:b/>
          <w:bCs/>
          <w:color w:val="666666"/>
          <w:spacing w:val="120"/>
          <w:sz w:val="17"/>
          <w:szCs w:val="17"/>
        </w:rPr>
        <w:lastRenderedPageBreak/>
        <w:t>FIGURE 04  ·  EXPANSION MODEL: PASSIVE VS. PRODUCT-LED</w:t>
      </w:r>
    </w:p>
    <w:p w14:paraId="4F0392DA" w14:textId="36206C5F" w:rsidR="00B41BDB" w:rsidRDefault="00E8340B" w:rsidP="00E8340B">
      <w:pPr>
        <w:spacing w:before="140"/>
        <w:jc w:val="center"/>
      </w:pPr>
      <w:r>
        <w:rPr>
          <w:noProof/>
        </w:rPr>
        <w:drawing>
          <wp:inline distT="0" distB="0" distL="0" distR="0" wp14:anchorId="14EA4C49" wp14:editId="7B7D42D7">
            <wp:extent cx="4644000" cy="2548296"/>
            <wp:effectExtent l="0" t="0" r="4445" b="4445"/>
            <wp:docPr id="955317937" name="Picture 9553179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2548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BC452" w14:textId="4BA043C9" w:rsidR="00E8340B" w:rsidRDefault="00E8340B" w:rsidP="00E8340B">
      <w:pPr>
        <w:spacing w:before="140"/>
        <w:jc w:val="center"/>
      </w:pPr>
      <w:r>
        <w:rPr>
          <w:color w:val="6B7280"/>
          <w:sz w:val="18"/>
          <w:szCs w:val="18"/>
        </w:rPr>
        <w:t>Current model: sales intervention required for every expansion event. Ideal model: automated triggers convert usage signals into revenue actions in real time.</w:t>
      </w:r>
    </w:p>
    <w:p w14:paraId="214D2446" w14:textId="77777777" w:rsidR="00E8340B" w:rsidRDefault="00E8340B" w:rsidP="00E8340B">
      <w:pPr>
        <w:spacing w:before="140"/>
        <w:jc w:val="center"/>
      </w:pPr>
    </w:p>
    <w:p w14:paraId="5725A42A" w14:textId="77777777" w:rsidR="00B41BDB" w:rsidRDefault="00000000">
      <w:pPr>
        <w:spacing w:before="160" w:after="60"/>
      </w:pPr>
      <w:r>
        <w:rPr>
          <w:b/>
          <w:bCs/>
          <w:color w:val="666666"/>
          <w:spacing w:val="120"/>
          <w:sz w:val="17"/>
          <w:szCs w:val="17"/>
        </w:rPr>
        <w:t>FIGURE 05  ·  PRICING VS. VALUE PROGRESSION</w:t>
      </w:r>
    </w:p>
    <w:p w14:paraId="54D1F63C" w14:textId="0EC3F291" w:rsidR="00B41BDB" w:rsidRDefault="00E8340B" w:rsidP="00E8340B">
      <w:pPr>
        <w:spacing w:before="240"/>
        <w:jc w:val="center"/>
      </w:pPr>
      <w:r>
        <w:rPr>
          <w:noProof/>
        </w:rPr>
        <w:drawing>
          <wp:inline distT="0" distB="0" distL="0" distR="0" wp14:anchorId="0E3D4B6B" wp14:editId="6082F7D3">
            <wp:extent cx="4644000" cy="3099278"/>
            <wp:effectExtent l="0" t="0" r="4445" b="6350"/>
            <wp:docPr id="1818552409" name="Picture 181855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4000" cy="3099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743E8B" w14:textId="53425D62" w:rsidR="00E8340B" w:rsidRDefault="00E8340B" w:rsidP="00E8340B">
      <w:pPr>
        <w:spacing w:before="240"/>
        <w:jc w:val="center"/>
      </w:pPr>
      <w:r>
        <w:rPr>
          <w:color w:val="6B7280"/>
          <w:sz w:val="18"/>
          <w:szCs w:val="18"/>
        </w:rPr>
        <w:t>Current pricing: step-function jumps that create hesitation and workarounds. Ideal model: progressive monetization that scales continuously with product usage.</w:t>
      </w:r>
    </w:p>
    <w:p w14:paraId="15E037F6" w14:textId="77777777" w:rsidR="00B41BDB" w:rsidRDefault="00000000">
      <w:r>
        <w:br w:type="page"/>
      </w:r>
    </w:p>
    <w:p w14:paraId="55CF9BE0" w14:textId="77777777" w:rsidR="00B41BDB" w:rsidRDefault="00000000">
      <w:pPr>
        <w:spacing w:before="360" w:after="80"/>
      </w:pPr>
      <w:r>
        <w:rPr>
          <w:b/>
          <w:bCs/>
          <w:color w:val="D4280A"/>
          <w:spacing w:val="150"/>
          <w:sz w:val="17"/>
          <w:szCs w:val="17"/>
        </w:rPr>
        <w:lastRenderedPageBreak/>
        <w:t>07 / REVENUE IMPACT</w:t>
      </w:r>
    </w:p>
    <w:p w14:paraId="189BD378" w14:textId="77777777" w:rsidR="00B41BDB" w:rsidRDefault="00000000">
      <w:pPr>
        <w:spacing w:before="60" w:after="180"/>
      </w:pPr>
      <w:r>
        <w:rPr>
          <w:b/>
          <w:bCs/>
          <w:color w:val="0A0A0A"/>
          <w:sz w:val="52"/>
          <w:szCs w:val="52"/>
        </w:rPr>
        <w:t>What This Unlocks: $150M–$300M+ ARR</w:t>
      </w:r>
    </w:p>
    <w:p w14:paraId="2D0C5612" w14:textId="77777777" w:rsidR="00B41BDB" w:rsidRDefault="00000000">
      <w:pPr>
        <w:spacing w:before="80" w:after="80"/>
      </w:pPr>
      <w:r>
        <w:t>The opportunity is not theoretical. It is embedded in the existing customer base — already generating signals, already demonstrating the usage patterns that precede expansion. The system is simply not designed to capture it.</w:t>
      </w:r>
    </w:p>
    <w:p w14:paraId="4D4EC236" w14:textId="77777777" w:rsidR="00B41BDB" w:rsidRDefault="00B41BDB">
      <w:pPr>
        <w:spacing w:before="140"/>
      </w:pP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20"/>
        <w:gridCol w:w="3120"/>
        <w:gridCol w:w="3120"/>
      </w:tblGrid>
      <w:tr w:rsidR="00B41BDB" w14:paraId="2BC979F4" w14:textId="77777777">
        <w:tblPrEx>
          <w:tblCellMar>
            <w:top w:w="0" w:type="dxa"/>
            <w:bottom w:w="0" w:type="dxa"/>
          </w:tblCellMar>
        </w:tblPrEx>
        <w:tc>
          <w:tcPr>
            <w:tcW w:w="3120" w:type="dxa"/>
            <w:tcBorders>
              <w:right w:val="single" w:sz="2" w:space="0" w:color="E0E0E0"/>
            </w:tcBorders>
            <w:shd w:val="clear" w:color="auto" w:fill="111111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617D6B01" w14:textId="77777777" w:rsidR="00B41BDB" w:rsidRDefault="00000000">
            <w:pPr>
              <w:spacing w:after="80"/>
            </w:pPr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SCENARIO 1</w:t>
            </w:r>
          </w:p>
          <w:p w14:paraId="237EF9F4" w14:textId="77777777" w:rsidR="00B41BDB" w:rsidRDefault="00000000">
            <w:pPr>
              <w:spacing w:after="80"/>
            </w:pPr>
            <w:r>
              <w:rPr>
                <w:b/>
                <w:bCs/>
                <w:color w:val="FFFFFF"/>
                <w:sz w:val="22"/>
                <w:szCs w:val="22"/>
              </w:rPr>
              <w:t>Multi-Hub Adoption +5–10%</w:t>
            </w:r>
          </w:p>
          <w:p w14:paraId="5947D164" w14:textId="77777777" w:rsidR="00B41BDB" w:rsidRDefault="00000000">
            <w:r>
              <w:rPr>
                <w:color w:val="AAAAAA"/>
                <w:sz w:val="20"/>
                <w:szCs w:val="20"/>
              </w:rPr>
              <w:t>Shifting 5–10% of single-hub accounts to dual-hub — at an average ARPU differential of ~$7K — generates $100M–$200M+ ARR uplift directly. Without acquiring a single new customer.</w:t>
            </w:r>
          </w:p>
        </w:tc>
        <w:tc>
          <w:tcPr>
            <w:tcW w:w="3120" w:type="dxa"/>
            <w:tcBorders>
              <w:right w:val="single" w:sz="2" w:space="0" w:color="E0E0E0"/>
            </w:tcBorders>
            <w:shd w:val="clear" w:color="auto" w:fill="1F1F1F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3338DBAB" w14:textId="77777777" w:rsidR="00B41BDB" w:rsidRDefault="00000000">
            <w:pPr>
              <w:spacing w:after="80"/>
            </w:pPr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SCENARIO 2</w:t>
            </w:r>
          </w:p>
          <w:p w14:paraId="27501001" w14:textId="77777777" w:rsidR="00B41BDB" w:rsidRDefault="00000000">
            <w:pPr>
              <w:spacing w:after="80"/>
            </w:pPr>
            <w:r>
              <w:rPr>
                <w:b/>
                <w:bCs/>
                <w:color w:val="FFFFFF"/>
                <w:sz w:val="22"/>
                <w:szCs w:val="22"/>
              </w:rPr>
              <w:t>Faster Expansion Cycles</w:t>
            </w:r>
          </w:p>
          <w:p w14:paraId="4582CAE2" w14:textId="77777777" w:rsidR="00B41BDB" w:rsidRDefault="00000000">
            <w:r>
              <w:rPr>
                <w:color w:val="AAAAAA"/>
                <w:sz w:val="20"/>
                <w:szCs w:val="20"/>
              </w:rPr>
              <w:t>Real-time product triggers shorten time-to-expansion. Higher conversion from usage to revenue. Stronger compounding quarterly effect on new ARR — each cycle faster than the last.</w:t>
            </w:r>
          </w:p>
        </w:tc>
        <w:tc>
          <w:tcPr>
            <w:tcW w:w="3120" w:type="dxa"/>
            <w:shd w:val="clear" w:color="auto" w:fill="111111"/>
            <w:tcMar>
              <w:top w:w="240" w:type="dxa"/>
              <w:left w:w="240" w:type="dxa"/>
              <w:bottom w:w="240" w:type="dxa"/>
              <w:right w:w="240" w:type="dxa"/>
            </w:tcMar>
          </w:tcPr>
          <w:p w14:paraId="45AE15BF" w14:textId="77777777" w:rsidR="00B41BDB" w:rsidRDefault="00000000">
            <w:pPr>
              <w:spacing w:after="80"/>
            </w:pPr>
            <w:r>
              <w:rPr>
                <w:b/>
                <w:bCs/>
                <w:color w:val="D4280A"/>
                <w:spacing w:val="80"/>
                <w:sz w:val="17"/>
                <w:szCs w:val="17"/>
              </w:rPr>
              <w:t>SCENARIO 3</w:t>
            </w:r>
          </w:p>
          <w:p w14:paraId="42850B77" w14:textId="77777777" w:rsidR="00B41BDB" w:rsidRDefault="00000000">
            <w:pPr>
              <w:spacing w:after="80"/>
            </w:pPr>
            <w:r>
              <w:rPr>
                <w:b/>
                <w:bCs/>
                <w:color w:val="FFFFFF"/>
                <w:sz w:val="22"/>
                <w:szCs w:val="22"/>
              </w:rPr>
              <w:t>NRR from 102–105% → 107–110%</w:t>
            </w:r>
          </w:p>
          <w:p w14:paraId="0515AE39" w14:textId="77777777" w:rsidR="00B41BDB" w:rsidRDefault="00000000">
            <w:r>
              <w:rPr>
                <w:color w:val="AAAAAA"/>
                <w:sz w:val="20"/>
                <w:szCs w:val="20"/>
              </w:rPr>
              <w:t>Systemized expansion adds 2–5% compounding annual growth on the existing ARR base. At $3.1B ARR, each percentage point of NRR improvement is worth $30M+ annually.</w:t>
            </w:r>
          </w:p>
        </w:tc>
      </w:tr>
    </w:tbl>
    <w:p w14:paraId="6B5856C9" w14:textId="77777777" w:rsidR="00B41BDB" w:rsidRDefault="00B41BDB">
      <w:pPr>
        <w:spacing w:before="140"/>
      </w:pPr>
    </w:p>
    <w:p w14:paraId="3706525C" w14:textId="77777777" w:rsidR="00B41BDB" w:rsidRDefault="00000000">
      <w:pPr>
        <w:spacing w:before="80" w:after="80"/>
      </w:pPr>
      <w:r>
        <w:t>When these three vectors compound — higher ARPU, faster cycles, improved retention — the effect is not additive. It is multiplicative. Each improvement reinforces the others. This is how platform businesses scale non-linearly.</w:t>
      </w:r>
    </w:p>
    <w:p w14:paraId="08925849" w14:textId="77777777" w:rsidR="00B41BDB" w:rsidRDefault="00B41BDB">
      <w:pPr>
        <w:spacing w:before="80"/>
      </w:pPr>
    </w:p>
    <w:p w14:paraId="71519938" w14:textId="77777777" w:rsidR="00B41BDB" w:rsidRDefault="00000000">
      <w:pPr>
        <w:spacing w:before="80" w:after="80"/>
      </w:pPr>
      <w:r>
        <w:rPr>
          <w:i/>
          <w:iCs/>
          <w:color w:val="666666"/>
        </w:rPr>
        <w:t>Directional estimates based on modeled scenarios using publicly disclosed financials, pricing structure, and multi-hub adoption data.</w:t>
      </w:r>
    </w:p>
    <w:p w14:paraId="626FFC18" w14:textId="77777777" w:rsidR="00B41BDB" w:rsidRDefault="00B41BDB">
      <w:pPr>
        <w:spacing w:before="240"/>
      </w:pPr>
    </w:p>
    <w:p w14:paraId="7D26FD35" w14:textId="77777777" w:rsidR="00B41BDB" w:rsidRDefault="00000000">
      <w:r>
        <w:br w:type="page"/>
      </w:r>
    </w:p>
    <w:p w14:paraId="5BCCC7F3" w14:textId="77777777" w:rsidR="00B41BDB" w:rsidRDefault="00000000">
      <w:pPr>
        <w:spacing w:before="360" w:after="80"/>
      </w:pPr>
      <w:r>
        <w:rPr>
          <w:b/>
          <w:bCs/>
          <w:color w:val="D4280A"/>
          <w:spacing w:val="150"/>
          <w:sz w:val="17"/>
          <w:szCs w:val="17"/>
        </w:rPr>
        <w:lastRenderedPageBreak/>
        <w:t>08 / CLOSING INSIGHT</w:t>
      </w:r>
    </w:p>
    <w:p w14:paraId="5A1F8C1E" w14:textId="77777777" w:rsidR="00B41BDB" w:rsidRDefault="00000000">
      <w:pPr>
        <w:spacing w:before="60" w:after="180"/>
      </w:pPr>
      <w:r>
        <w:rPr>
          <w:b/>
          <w:bCs/>
          <w:color w:val="0A0A0A"/>
          <w:sz w:val="52"/>
          <w:szCs w:val="52"/>
        </w:rPr>
        <w:t>The Growth Already Exists. The System Isn't Built to Capture It.</w:t>
      </w:r>
    </w:p>
    <w:tbl>
      <w:tblPr>
        <w:tblW w:w="93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360"/>
      </w:tblGrid>
      <w:tr w:rsidR="00B41BDB" w14:paraId="0E170786" w14:textId="77777777">
        <w:tblPrEx>
          <w:tblCellMar>
            <w:top w:w="0" w:type="dxa"/>
            <w:bottom w:w="0" w:type="dxa"/>
          </w:tblCellMar>
        </w:tblPrEx>
        <w:tc>
          <w:tcPr>
            <w:tcW w:w="9360" w:type="dxa"/>
            <w:shd w:val="clear" w:color="auto" w:fill="111111"/>
            <w:tcMar>
              <w:top w:w="320" w:type="dxa"/>
              <w:left w:w="400" w:type="dxa"/>
              <w:bottom w:w="320" w:type="dxa"/>
              <w:right w:w="400" w:type="dxa"/>
            </w:tcMar>
          </w:tcPr>
          <w:p w14:paraId="074F48BF" w14:textId="77777777" w:rsidR="00B41BDB" w:rsidRDefault="00000000">
            <w:pPr>
              <w:spacing w:after="100"/>
            </w:pPr>
            <w:r>
              <w:rPr>
                <w:b/>
                <w:bCs/>
                <w:color w:val="FFFFFF"/>
                <w:sz w:val="36"/>
                <w:szCs w:val="36"/>
              </w:rPr>
              <w:t>This is not a growth problem.</w:t>
            </w:r>
          </w:p>
          <w:p w14:paraId="07A685CE" w14:textId="77777777" w:rsidR="00B41BDB" w:rsidRDefault="00000000">
            <w:pPr>
              <w:spacing w:after="140"/>
            </w:pPr>
            <w:r>
              <w:rPr>
                <w:color w:val="AAAAAA"/>
                <w:sz w:val="30"/>
                <w:szCs w:val="30"/>
              </w:rPr>
              <w:t>HubSpot does not need a new product, a new market, or a new demand generation strategy.</w:t>
            </w:r>
          </w:p>
          <w:p w14:paraId="1A67EF14" w14:textId="77777777" w:rsidR="00B41BDB" w:rsidRDefault="00000000">
            <w:pPr>
              <w:spacing w:after="140"/>
            </w:pPr>
            <w:r>
              <w:rPr>
                <w:color w:val="AAAAAA"/>
                <w:sz w:val="24"/>
                <w:szCs w:val="24"/>
              </w:rPr>
              <w:t>It needs a revenue system that treats expansion as a product responsibility — not a sales responsibility.</w:t>
            </w:r>
          </w:p>
          <w:p w14:paraId="204B916F" w14:textId="77777777" w:rsidR="00B41BDB" w:rsidRDefault="00000000">
            <w:r>
              <w:rPr>
                <w:b/>
                <w:bCs/>
                <w:color w:val="D4280A"/>
                <w:sz w:val="30"/>
                <w:szCs w:val="30"/>
              </w:rPr>
              <w:t xml:space="preserve">Every week without an automated signal-to-monetization layer, HubSpot leaves expansion revenue in accounts that are already </w:t>
            </w:r>
            <w:proofErr w:type="spellStart"/>
            <w:r>
              <w:rPr>
                <w:b/>
                <w:bCs/>
                <w:color w:val="D4280A"/>
                <w:sz w:val="30"/>
                <w:szCs w:val="30"/>
              </w:rPr>
              <w:t>signaling</w:t>
            </w:r>
            <w:proofErr w:type="spellEnd"/>
            <w:r>
              <w:rPr>
                <w:b/>
                <w:bCs/>
                <w:color w:val="D4280A"/>
                <w:sz w:val="30"/>
                <w:szCs w:val="30"/>
              </w:rPr>
              <w:t xml:space="preserve"> readiness.</w:t>
            </w:r>
          </w:p>
        </w:tc>
      </w:tr>
    </w:tbl>
    <w:p w14:paraId="24885C00" w14:textId="77777777" w:rsidR="00B41BDB" w:rsidRDefault="00B41BDB">
      <w:pPr>
        <w:spacing w:before="140"/>
      </w:pPr>
    </w:p>
    <w:p w14:paraId="1E3E27F2" w14:textId="77777777" w:rsidR="00B41BDB" w:rsidRDefault="00000000">
      <w:pPr>
        <w:spacing w:before="80" w:after="80"/>
      </w:pPr>
      <w:r>
        <w:t>The usage is there. The dependency is there. The willingness to pay is demonstrably there — 62% of new customers already prove it by arriving multi-hub. The missing element is not demand. It is the architecture to capture it.</w:t>
      </w:r>
    </w:p>
    <w:p w14:paraId="518F2E61" w14:textId="77777777" w:rsidR="00B41BDB" w:rsidRDefault="00B41BDB">
      <w:pPr>
        <w:spacing w:before="80"/>
      </w:pPr>
    </w:p>
    <w:p w14:paraId="7CF3134E" w14:textId="77777777" w:rsidR="00B41BDB" w:rsidRDefault="00000000">
      <w:pPr>
        <w:spacing w:before="80" w:after="80"/>
      </w:pPr>
      <w:r>
        <w:t>That architecture is buildable. The signals already exist. The revenue actions already exist. The gap between them is the only thing that needs to change.</w:t>
      </w:r>
    </w:p>
    <w:p w14:paraId="14388FE6" w14:textId="77777777" w:rsidR="00B41BDB" w:rsidRDefault="00B41BDB">
      <w:pPr>
        <w:spacing w:before="160"/>
      </w:pPr>
    </w:p>
    <w:p w14:paraId="58F52812" w14:textId="77777777" w:rsidR="00B41BDB" w:rsidRDefault="00B41BDB">
      <w:pPr>
        <w:pBdr>
          <w:bottom w:val="single" w:sz="2" w:space="1" w:color="E0E0E0"/>
        </w:pBdr>
        <w:spacing w:before="60" w:after="60"/>
      </w:pPr>
    </w:p>
    <w:p w14:paraId="500F193F" w14:textId="77777777" w:rsidR="00B41BDB" w:rsidRDefault="00B41BDB">
      <w:pPr>
        <w:spacing w:before="120"/>
      </w:pPr>
    </w:p>
    <w:p w14:paraId="6E487680" w14:textId="77777777" w:rsidR="00B41BDB" w:rsidRDefault="00000000">
      <w:pPr>
        <w:spacing w:after="60"/>
        <w:jc w:val="center"/>
      </w:pPr>
      <w:r>
        <w:rPr>
          <w:color w:val="666666"/>
        </w:rPr>
        <w:t>If your product is generating signals but not revenue from them —</w:t>
      </w:r>
    </w:p>
    <w:p w14:paraId="6CF70CED" w14:textId="16B29F30" w:rsidR="00B41BDB" w:rsidRDefault="00000000">
      <w:pPr>
        <w:jc w:val="center"/>
      </w:pPr>
      <w:r>
        <w:rPr>
          <w:b/>
          <w:bCs/>
          <w:color w:val="111111"/>
        </w:rPr>
        <w:t xml:space="preserve">this is the problem </w:t>
      </w:r>
      <w:r w:rsidR="00364F67">
        <w:rPr>
          <w:b/>
          <w:bCs/>
          <w:color w:val="111111"/>
        </w:rPr>
        <w:t>we</w:t>
      </w:r>
      <w:r>
        <w:rPr>
          <w:b/>
          <w:bCs/>
          <w:color w:val="111111"/>
        </w:rPr>
        <w:t xml:space="preserve"> solve.</w:t>
      </w:r>
    </w:p>
    <w:p w14:paraId="5CB7C6D3" w14:textId="77777777" w:rsidR="00B41BDB" w:rsidRDefault="00B41BDB">
      <w:pPr>
        <w:spacing w:before="80"/>
      </w:pPr>
    </w:p>
    <w:p w14:paraId="115367B2" w14:textId="77777777" w:rsidR="00B41BDB" w:rsidRDefault="00000000">
      <w:pPr>
        <w:jc w:val="center"/>
      </w:pPr>
      <w:r>
        <w:rPr>
          <w:color w:val="666666"/>
          <w:sz w:val="20"/>
          <w:szCs w:val="20"/>
        </w:rPr>
        <w:t>Reach out to discuss a revenue architecture engagement — tailored to your product stage, customer base, and expansion model.</w:t>
      </w:r>
    </w:p>
    <w:p w14:paraId="47BDBF60" w14:textId="77777777" w:rsidR="00B41BDB" w:rsidRDefault="00B41BDB">
      <w:pPr>
        <w:spacing w:before="120"/>
      </w:pPr>
    </w:p>
    <w:p w14:paraId="5563AA0E" w14:textId="77777777" w:rsidR="00B41BDB" w:rsidRDefault="00B41BDB">
      <w:pPr>
        <w:pBdr>
          <w:bottom w:val="single" w:sz="8" w:space="1" w:color="D4280A"/>
        </w:pBdr>
        <w:spacing w:before="60" w:after="60"/>
      </w:pPr>
    </w:p>
    <w:sectPr w:rsidR="00B41BDB">
      <w:headerReference w:type="default" r:id="rId12"/>
      <w:pgSz w:w="12240" w:h="15840"/>
      <w:pgMar w:top="1080" w:right="1080" w:bottom="1080" w:left="108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FE707DE" w14:textId="77777777" w:rsidR="00E43D6B" w:rsidRDefault="00E43D6B">
      <w:r>
        <w:separator/>
      </w:r>
    </w:p>
  </w:endnote>
  <w:endnote w:type="continuationSeparator" w:id="0">
    <w:p w14:paraId="2568DA2D" w14:textId="77777777" w:rsidR="00E43D6B" w:rsidRDefault="00E43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E03E82" w14:textId="77777777" w:rsidR="00E43D6B" w:rsidRDefault="00E43D6B">
      <w:r>
        <w:separator/>
      </w:r>
    </w:p>
  </w:footnote>
  <w:footnote w:type="continuationSeparator" w:id="0">
    <w:p w14:paraId="37A3A377" w14:textId="77777777" w:rsidR="00E43D6B" w:rsidRDefault="00E43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1010A" w14:textId="77777777" w:rsidR="00B41BDB" w:rsidRDefault="00000000">
    <w:pPr>
      <w:pBdr>
        <w:bottom w:val="single" w:sz="2" w:space="1" w:color="E0E0E0"/>
      </w:pBdr>
      <w:spacing w:after="120"/>
    </w:pPr>
    <w:r>
      <w:rPr>
        <w:color w:val="AAAAAA"/>
        <w:sz w:val="16"/>
        <w:szCs w:val="16"/>
      </w:rPr>
      <w:t>CONFIDENTIAL  ·  STRATEGIC CASE STUDY          HUBSPOT REVENUE ARCHITECTURE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2F7EC7"/>
    <w:multiLevelType w:val="hybridMultilevel"/>
    <w:tmpl w:val="E8A81464"/>
    <w:lvl w:ilvl="0" w:tplc="A37AF018">
      <w:start w:val="1"/>
      <w:numFmt w:val="bullet"/>
      <w:lvlText w:val="–"/>
      <w:lvlJc w:val="left"/>
      <w:pPr>
        <w:ind w:left="560" w:hanging="280"/>
      </w:pPr>
      <w:rPr>
        <w:rFonts w:ascii="Arial" w:eastAsia="Arial" w:hAnsi="Arial" w:cs="Arial"/>
        <w:color w:val="D4280A"/>
      </w:rPr>
    </w:lvl>
    <w:lvl w:ilvl="1" w:tplc="5B2E7190">
      <w:numFmt w:val="decimal"/>
      <w:lvlText w:val=""/>
      <w:lvlJc w:val="left"/>
    </w:lvl>
    <w:lvl w:ilvl="2" w:tplc="269EDAEE">
      <w:numFmt w:val="decimal"/>
      <w:lvlText w:val=""/>
      <w:lvlJc w:val="left"/>
    </w:lvl>
    <w:lvl w:ilvl="3" w:tplc="7F22CED6">
      <w:numFmt w:val="decimal"/>
      <w:lvlText w:val=""/>
      <w:lvlJc w:val="left"/>
    </w:lvl>
    <w:lvl w:ilvl="4" w:tplc="6916D4FA">
      <w:numFmt w:val="decimal"/>
      <w:lvlText w:val=""/>
      <w:lvlJc w:val="left"/>
    </w:lvl>
    <w:lvl w:ilvl="5" w:tplc="2F1A4206">
      <w:numFmt w:val="decimal"/>
      <w:lvlText w:val=""/>
      <w:lvlJc w:val="left"/>
    </w:lvl>
    <w:lvl w:ilvl="6" w:tplc="3C96BD66">
      <w:numFmt w:val="decimal"/>
      <w:lvlText w:val=""/>
      <w:lvlJc w:val="left"/>
    </w:lvl>
    <w:lvl w:ilvl="7" w:tplc="8620057A">
      <w:numFmt w:val="decimal"/>
      <w:lvlText w:val=""/>
      <w:lvlJc w:val="left"/>
    </w:lvl>
    <w:lvl w:ilvl="8" w:tplc="8BCEF248">
      <w:numFmt w:val="decimal"/>
      <w:lvlText w:val=""/>
      <w:lvlJc w:val="left"/>
    </w:lvl>
  </w:abstractNum>
  <w:abstractNum w:abstractNumId="1" w15:restartNumberingAfterBreak="0">
    <w:nsid w:val="7DE16497"/>
    <w:multiLevelType w:val="hybridMultilevel"/>
    <w:tmpl w:val="4FF604F8"/>
    <w:lvl w:ilvl="0" w:tplc="E8C6A554">
      <w:start w:val="1"/>
      <w:numFmt w:val="bullet"/>
      <w:lvlText w:val="●"/>
      <w:lvlJc w:val="left"/>
      <w:pPr>
        <w:ind w:left="720" w:hanging="360"/>
      </w:pPr>
    </w:lvl>
    <w:lvl w:ilvl="1" w:tplc="277C376E">
      <w:start w:val="1"/>
      <w:numFmt w:val="bullet"/>
      <w:lvlText w:val="○"/>
      <w:lvlJc w:val="left"/>
      <w:pPr>
        <w:ind w:left="1440" w:hanging="360"/>
      </w:pPr>
    </w:lvl>
    <w:lvl w:ilvl="2" w:tplc="07B88FE8">
      <w:start w:val="1"/>
      <w:numFmt w:val="bullet"/>
      <w:lvlText w:val="■"/>
      <w:lvlJc w:val="left"/>
      <w:pPr>
        <w:ind w:left="2160" w:hanging="360"/>
      </w:pPr>
    </w:lvl>
    <w:lvl w:ilvl="3" w:tplc="18AC014C">
      <w:start w:val="1"/>
      <w:numFmt w:val="bullet"/>
      <w:lvlText w:val="●"/>
      <w:lvlJc w:val="left"/>
      <w:pPr>
        <w:ind w:left="2880" w:hanging="360"/>
      </w:pPr>
    </w:lvl>
    <w:lvl w:ilvl="4" w:tplc="285A8D1E">
      <w:start w:val="1"/>
      <w:numFmt w:val="bullet"/>
      <w:lvlText w:val="○"/>
      <w:lvlJc w:val="left"/>
      <w:pPr>
        <w:ind w:left="3600" w:hanging="360"/>
      </w:pPr>
    </w:lvl>
    <w:lvl w:ilvl="5" w:tplc="3D8807EE">
      <w:start w:val="1"/>
      <w:numFmt w:val="bullet"/>
      <w:lvlText w:val="■"/>
      <w:lvlJc w:val="left"/>
      <w:pPr>
        <w:ind w:left="4320" w:hanging="360"/>
      </w:pPr>
    </w:lvl>
    <w:lvl w:ilvl="6" w:tplc="A0382DD4">
      <w:start w:val="1"/>
      <w:numFmt w:val="bullet"/>
      <w:lvlText w:val="●"/>
      <w:lvlJc w:val="left"/>
      <w:pPr>
        <w:ind w:left="5040" w:hanging="360"/>
      </w:pPr>
    </w:lvl>
    <w:lvl w:ilvl="7" w:tplc="A5567880">
      <w:start w:val="1"/>
      <w:numFmt w:val="bullet"/>
      <w:lvlText w:val="●"/>
      <w:lvlJc w:val="left"/>
      <w:pPr>
        <w:ind w:left="5760" w:hanging="360"/>
      </w:pPr>
    </w:lvl>
    <w:lvl w:ilvl="8" w:tplc="31585AC2">
      <w:start w:val="1"/>
      <w:numFmt w:val="bullet"/>
      <w:lvlText w:val="●"/>
      <w:lvlJc w:val="left"/>
      <w:pPr>
        <w:ind w:left="6480" w:hanging="360"/>
      </w:pPr>
    </w:lvl>
  </w:abstractNum>
  <w:num w:numId="1" w16cid:durableId="72823905">
    <w:abstractNumId w:val="1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1BDB"/>
    <w:rsid w:val="00364F67"/>
    <w:rsid w:val="00B41BDB"/>
    <w:rsid w:val="00E43D6B"/>
    <w:rsid w:val="00E717BF"/>
    <w:rsid w:val="00E834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9AF1CF"/>
  <w15:docId w15:val="{3B7A9CBD-D6EC-4B9C-892C-AA74737AB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color w:val="333333"/>
        <w:sz w:val="21"/>
        <w:szCs w:val="21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uiPriority w:val="9"/>
    <w:qFormat/>
    <w:pPr>
      <w:outlineLvl w:val="0"/>
    </w:pPr>
    <w:rPr>
      <w:color w:val="2E74B5"/>
      <w:sz w:val="32"/>
      <w:szCs w:val="32"/>
    </w:rPr>
  </w:style>
  <w:style w:type="paragraph" w:styleId="Heading2">
    <w:name w:val="heading 2"/>
    <w:uiPriority w:val="9"/>
    <w:semiHidden/>
    <w:unhideWhenUsed/>
    <w:qFormat/>
    <w:pPr>
      <w:outlineLvl w:val="1"/>
    </w:pPr>
    <w:rPr>
      <w:color w:val="2E74B5"/>
      <w:sz w:val="26"/>
      <w:szCs w:val="26"/>
    </w:rPr>
  </w:style>
  <w:style w:type="paragraph" w:styleId="Heading3">
    <w:name w:val="heading 3"/>
    <w:uiPriority w:val="9"/>
    <w:semiHidden/>
    <w:unhideWhenUsed/>
    <w:qFormat/>
    <w:pPr>
      <w:outlineLvl w:val="2"/>
    </w:pPr>
    <w:rPr>
      <w:color w:val="1F4D78"/>
      <w:sz w:val="24"/>
      <w:szCs w:val="24"/>
    </w:rPr>
  </w:style>
  <w:style w:type="paragraph" w:styleId="Heading4">
    <w:name w:val="heading 4"/>
    <w:uiPriority w:val="9"/>
    <w:semiHidden/>
    <w:unhideWhenUsed/>
    <w:qFormat/>
    <w:pPr>
      <w:outlineLvl w:val="3"/>
    </w:pPr>
    <w:rPr>
      <w:i/>
      <w:iCs/>
      <w:color w:val="2E74B5"/>
    </w:rPr>
  </w:style>
  <w:style w:type="paragraph" w:styleId="Heading5">
    <w:name w:val="heading 5"/>
    <w:uiPriority w:val="9"/>
    <w:semiHidden/>
    <w:unhideWhenUsed/>
    <w:qFormat/>
    <w:pPr>
      <w:outlineLvl w:val="4"/>
    </w:pPr>
    <w:rPr>
      <w:color w:val="2E74B5"/>
    </w:rPr>
  </w:style>
  <w:style w:type="paragraph" w:styleId="Heading6">
    <w:name w:val="heading 6"/>
    <w:uiPriority w:val="9"/>
    <w:semiHidden/>
    <w:unhideWhenUsed/>
    <w:qFormat/>
    <w:pPr>
      <w:outlineLvl w:val="5"/>
    </w:pPr>
    <w:rPr>
      <w:color w:val="1F4D7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uiPriority w:val="10"/>
    <w:qFormat/>
    <w:rPr>
      <w:sz w:val="56"/>
      <w:szCs w:val="56"/>
    </w:rPr>
  </w:style>
  <w:style w:type="paragraph" w:customStyle="1" w:styleId="Strong1">
    <w:name w:val="Strong1"/>
    <w:qFormat/>
    <w:rPr>
      <w:b/>
      <w:bCs/>
    </w:rPr>
  </w:style>
  <w:style w:type="paragraph" w:styleId="ListParagraph">
    <w:name w:val="List Paragraph"/>
    <w:qFormat/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FootnoteReference">
    <w:name w:val="footnote reference"/>
    <w:uiPriority w:val="99"/>
    <w:semiHidden/>
    <w:unhideWhenUsed/>
    <w:rPr>
      <w:vertAlign w:val="superscript"/>
    </w:rPr>
  </w:style>
  <w:style w:type="paragraph" w:styleId="FootnoteText">
    <w:name w:val="footnote text"/>
    <w:link w:val="FootnoteTextChar"/>
    <w:uiPriority w:val="99"/>
    <w:semiHidden/>
    <w:unhideWhenUsed/>
    <w:rPr>
      <w:sz w:val="20"/>
      <w:szCs w:val="20"/>
    </w:rPr>
  </w:style>
  <w:style w:type="character" w:customStyle="1" w:styleId="FootnoteTextChar">
    <w:name w:val="Footnote Text Char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uiPriority w:val="99"/>
    <w:semiHidden/>
    <w:unhideWhenUsed/>
    <w:rPr>
      <w:vertAlign w:val="superscript"/>
    </w:rPr>
  </w:style>
  <w:style w:type="paragraph" w:styleId="EndnoteText">
    <w:name w:val="endnote text"/>
    <w:link w:val="EndnoteTextChar"/>
    <w:uiPriority w:val="99"/>
    <w:semiHidden/>
    <w:unhideWhenUsed/>
    <w:rPr>
      <w:sz w:val="20"/>
      <w:szCs w:val="20"/>
    </w:rPr>
  </w:style>
  <w:style w:type="character" w:customStyle="1" w:styleId="EndnoteTextChar">
    <w:name w:val="Endnote Text Char"/>
    <w:link w:val="EndnoteText"/>
    <w:uiPriority w:val="99"/>
    <w:semiHidden/>
    <w:unhideWhenUsed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14</Pages>
  <Words>2258</Words>
  <Characters>12875</Characters>
  <Application>Microsoft Office Word</Application>
  <DocSecurity>0</DocSecurity>
  <Lines>107</Lines>
  <Paragraphs>30</Paragraphs>
  <ScaleCrop>false</ScaleCrop>
  <Company/>
  <LinksUpToDate>false</LinksUpToDate>
  <CharactersWithSpaces>15103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Aman Undirwade</cp:lastModifiedBy>
  <cp:revision>3</cp:revision>
  <dcterms:created xsi:type="dcterms:W3CDTF">2026-04-26T13:20:00Z</dcterms:created>
  <dcterms:modified xsi:type="dcterms:W3CDTF">2026-04-26T13:28:00Z</dcterms:modified>
</cp:coreProperties>
</file>