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A72F9D" w14:paraId="12C9FB6E" w14:textId="77777777">
        <w:tblPrEx>
          <w:tblCellMar>
            <w:top w:w="0" w:type="dxa"/>
            <w:bottom w:w="0" w:type="dxa"/>
          </w:tblCellMar>
        </w:tblPrEx>
        <w:tc>
          <w:tcPr>
            <w:tcW w:w="9360" w:type="dxa"/>
            <w:tcBorders>
              <w:bottom w:val="single" w:sz="6" w:space="0" w:color="E8251A"/>
            </w:tcBorders>
            <w:shd w:val="clear" w:color="auto" w:fill="1A1A1A"/>
            <w:tcMar>
              <w:top w:w="160" w:type="dxa"/>
              <w:left w:w="0" w:type="dxa"/>
              <w:bottom w:w="160" w:type="dxa"/>
              <w:right w:w="0" w:type="dxa"/>
            </w:tcMar>
          </w:tcPr>
          <w:p w14:paraId="75E971D3" w14:textId="77777777" w:rsidR="001C22A8" w:rsidRDefault="00000000">
            <w:pPr>
              <w:jc w:val="center"/>
              <w:rPr>
                <w:b/>
                <w:bCs/>
                <w:color w:val="E8251A"/>
                <w:spacing w:val="200"/>
                <w:sz w:val="18"/>
                <w:szCs w:val="18"/>
              </w:rPr>
            </w:pPr>
            <w:r>
              <w:rPr>
                <w:b/>
                <w:bCs/>
                <w:color w:val="E8251A"/>
                <w:spacing w:val="200"/>
                <w:sz w:val="18"/>
                <w:szCs w:val="18"/>
              </w:rPr>
              <w:t>REVENUE STRATEGY</w:t>
            </w:r>
          </w:p>
          <w:p w14:paraId="007E9295" w14:textId="0CFBA209" w:rsidR="00A72F9D" w:rsidRDefault="00000000">
            <w:pPr>
              <w:jc w:val="center"/>
            </w:pPr>
            <w:r>
              <w:rPr>
                <w:b/>
                <w:bCs/>
                <w:color w:val="E8251A"/>
                <w:spacing w:val="200"/>
                <w:sz w:val="18"/>
                <w:szCs w:val="18"/>
              </w:rPr>
              <w:t>·</w:t>
            </w:r>
            <w:r w:rsidR="001C22A8">
              <w:rPr>
                <w:b/>
                <w:bCs/>
                <w:color w:val="E8251A"/>
                <w:spacing w:val="200"/>
                <w:sz w:val="18"/>
                <w:szCs w:val="18"/>
              </w:rPr>
              <w:t xml:space="preserve">  </w:t>
            </w:r>
            <w:r>
              <w:rPr>
                <w:b/>
                <w:bCs/>
                <w:color w:val="E8251A"/>
                <w:spacing w:val="200"/>
                <w:sz w:val="18"/>
                <w:szCs w:val="18"/>
              </w:rPr>
              <w:t>MONETIZATION TEARDOWN  · 202</w:t>
            </w:r>
            <w:r w:rsidR="001C22A8">
              <w:rPr>
                <w:b/>
                <w:bCs/>
                <w:color w:val="E8251A"/>
                <w:spacing w:val="200"/>
                <w:sz w:val="18"/>
                <w:szCs w:val="18"/>
              </w:rPr>
              <w:t>5-26</w:t>
            </w:r>
          </w:p>
        </w:tc>
      </w:tr>
    </w:tbl>
    <w:p w14:paraId="69BF5F43" w14:textId="77777777" w:rsidR="00A72F9D" w:rsidRDefault="00A72F9D">
      <w:pPr>
        <w:spacing w:before="600"/>
      </w:pPr>
    </w:p>
    <w:p w14:paraId="6DB66A70" w14:textId="26BE1DA8" w:rsidR="00A72F9D" w:rsidRDefault="00000000">
      <w:pPr>
        <w:spacing w:after="120"/>
      </w:pPr>
      <w:r>
        <w:rPr>
          <w:b/>
          <w:bCs/>
          <w:color w:val="6B6B6B"/>
          <w:spacing w:val="400"/>
        </w:rPr>
        <w:t>SUBJECT·NOTIO</w:t>
      </w:r>
      <w:r w:rsidR="001C22A8">
        <w:rPr>
          <w:b/>
          <w:bCs/>
          <w:color w:val="6B6B6B"/>
          <w:spacing w:val="400"/>
        </w:rPr>
        <w:t xml:space="preserve">N </w:t>
      </w:r>
      <w:r>
        <w:rPr>
          <w:b/>
          <w:bCs/>
          <w:color w:val="6B6B6B"/>
          <w:spacing w:val="400"/>
        </w:rPr>
        <w:t>INC.</w:t>
      </w:r>
    </w:p>
    <w:p w14:paraId="0A1E2BCC" w14:textId="77777777" w:rsidR="00A72F9D" w:rsidRDefault="00000000">
      <w:pPr>
        <w:spacing w:before="120"/>
      </w:pPr>
      <w:r>
        <w:rPr>
          <w:b/>
          <w:bCs/>
          <w:color w:val="1A1A1A"/>
          <w:sz w:val="120"/>
          <w:szCs w:val="120"/>
        </w:rPr>
        <w:t>REVENUE</w:t>
      </w:r>
    </w:p>
    <w:p w14:paraId="34DE0544" w14:textId="02855E3F" w:rsidR="00A72F9D" w:rsidRDefault="00000000" w:rsidP="001C22A8">
      <w:r>
        <w:rPr>
          <w:b/>
          <w:bCs/>
          <w:color w:val="E8251A"/>
          <w:sz w:val="120"/>
          <w:szCs w:val="120"/>
        </w:rPr>
        <w:t>ARCHITECTURE</w:t>
      </w:r>
    </w:p>
    <w:p w14:paraId="447CCDE8" w14:textId="77777777" w:rsidR="00A72F9D" w:rsidRDefault="00000000">
      <w:pPr>
        <w:spacing w:before="60"/>
      </w:pPr>
      <w:r>
        <w:rPr>
          <w:color w:val="6B6B6B"/>
          <w:sz w:val="32"/>
          <w:szCs w:val="32"/>
        </w:rPr>
        <w:t>Monetization Teardown — Why $100M+ Is Left on the Table</w:t>
      </w:r>
    </w:p>
    <w:p w14:paraId="02F40CB6" w14:textId="77777777" w:rsidR="00A72F9D" w:rsidRDefault="00A72F9D">
      <w:pPr>
        <w:spacing w:before="400"/>
      </w:pPr>
    </w:p>
    <w:p w14:paraId="679843E8" w14:textId="77777777" w:rsidR="00A72F9D" w:rsidRDefault="00A72F9D">
      <w:pPr>
        <w:pBdr>
          <w:bottom w:val="single" w:sz="2" w:space="1" w:color="E5E5E5"/>
        </w:pBdr>
        <w:spacing w:before="80" w:after="80"/>
      </w:pPr>
    </w:p>
    <w:p w14:paraId="5772186A" w14:textId="77777777" w:rsidR="00A72F9D" w:rsidRDefault="00A72F9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21"/>
        <w:gridCol w:w="6939"/>
      </w:tblGrid>
      <w:tr w:rsidR="00A72F9D" w14:paraId="5F4CC924" w14:textId="77777777">
        <w:tblPrEx>
          <w:tblCellMar>
            <w:top w:w="0" w:type="dxa"/>
            <w:bottom w:w="0" w:type="dxa"/>
          </w:tblCellMar>
        </w:tblPrEx>
        <w:tc>
          <w:tcPr>
            <w:tcW w:w="2400" w:type="dxa"/>
            <w:tcBorders>
              <w:bottom w:val="single" w:sz="1" w:space="0" w:color="E5E5E5"/>
            </w:tcBorders>
            <w:tcMar>
              <w:top w:w="120" w:type="dxa"/>
              <w:left w:w="0" w:type="dxa"/>
              <w:bottom w:w="120" w:type="dxa"/>
              <w:right w:w="240" w:type="dxa"/>
            </w:tcMar>
          </w:tcPr>
          <w:p w14:paraId="4F1F7206" w14:textId="77777777" w:rsidR="00A72F9D" w:rsidRDefault="00000000">
            <w:r>
              <w:rPr>
                <w:b/>
                <w:bCs/>
                <w:color w:val="6B6B6B"/>
                <w:spacing w:val="80"/>
                <w:sz w:val="18"/>
                <w:szCs w:val="18"/>
              </w:rPr>
              <w:t>DOCUMENT TYPE</w:t>
            </w:r>
          </w:p>
        </w:tc>
        <w:tc>
          <w:tcPr>
            <w:tcW w:w="6960" w:type="dxa"/>
            <w:tcBorders>
              <w:bottom w:val="single" w:sz="1" w:space="0" w:color="E5E5E5"/>
            </w:tcBorders>
            <w:tcMar>
              <w:top w:w="120" w:type="dxa"/>
              <w:left w:w="0" w:type="dxa"/>
              <w:bottom w:w="120" w:type="dxa"/>
              <w:right w:w="0" w:type="dxa"/>
            </w:tcMar>
          </w:tcPr>
          <w:p w14:paraId="04663004" w14:textId="7AEEA98C" w:rsidR="00A72F9D" w:rsidRDefault="00000000">
            <w:r>
              <w:rPr>
                <w:color w:val="1A1A1A"/>
              </w:rPr>
              <w:t>Strategic Case Study —</w:t>
            </w:r>
            <w:r w:rsidR="001C22A8">
              <w:rPr>
                <w:color w:val="1A1A1A"/>
              </w:rPr>
              <w:t xml:space="preserve"> </w:t>
            </w:r>
            <w:r>
              <w:rPr>
                <w:color w:val="1A1A1A"/>
              </w:rPr>
              <w:t>Portfolio Asset</w:t>
            </w:r>
          </w:p>
        </w:tc>
      </w:tr>
      <w:tr w:rsidR="00A72F9D" w14:paraId="2007ED4D" w14:textId="77777777">
        <w:tblPrEx>
          <w:tblCellMar>
            <w:top w:w="0" w:type="dxa"/>
            <w:bottom w:w="0" w:type="dxa"/>
          </w:tblCellMar>
        </w:tblPrEx>
        <w:tc>
          <w:tcPr>
            <w:tcW w:w="2400" w:type="dxa"/>
            <w:tcBorders>
              <w:bottom w:val="single" w:sz="1" w:space="0" w:color="E5E5E5"/>
            </w:tcBorders>
            <w:tcMar>
              <w:top w:w="120" w:type="dxa"/>
              <w:left w:w="0" w:type="dxa"/>
              <w:bottom w:w="120" w:type="dxa"/>
              <w:right w:w="240" w:type="dxa"/>
            </w:tcMar>
          </w:tcPr>
          <w:p w14:paraId="1FCD530E" w14:textId="77777777" w:rsidR="00A72F9D" w:rsidRDefault="00000000">
            <w:r>
              <w:rPr>
                <w:b/>
                <w:bCs/>
                <w:color w:val="6B6B6B"/>
                <w:spacing w:val="80"/>
                <w:sz w:val="18"/>
                <w:szCs w:val="18"/>
              </w:rPr>
              <w:t>SCOPE</w:t>
            </w:r>
          </w:p>
        </w:tc>
        <w:tc>
          <w:tcPr>
            <w:tcW w:w="6960" w:type="dxa"/>
            <w:tcBorders>
              <w:bottom w:val="single" w:sz="1" w:space="0" w:color="E5E5E5"/>
            </w:tcBorders>
            <w:tcMar>
              <w:top w:w="120" w:type="dxa"/>
              <w:left w:w="0" w:type="dxa"/>
              <w:bottom w:w="120" w:type="dxa"/>
              <w:right w:w="0" w:type="dxa"/>
            </w:tcMar>
          </w:tcPr>
          <w:p w14:paraId="22F805EC" w14:textId="77777777" w:rsidR="00A72F9D" w:rsidRDefault="00000000">
            <w:r>
              <w:rPr>
                <w:color w:val="1A1A1A"/>
              </w:rPr>
              <w:t>Monetization Architecture Redesign</w:t>
            </w:r>
          </w:p>
        </w:tc>
      </w:tr>
      <w:tr w:rsidR="00A72F9D" w14:paraId="01AF34BE" w14:textId="77777777">
        <w:tblPrEx>
          <w:tblCellMar>
            <w:top w:w="0" w:type="dxa"/>
            <w:bottom w:w="0" w:type="dxa"/>
          </w:tblCellMar>
        </w:tblPrEx>
        <w:tc>
          <w:tcPr>
            <w:tcW w:w="2400" w:type="dxa"/>
            <w:tcBorders>
              <w:bottom w:val="single" w:sz="1" w:space="0" w:color="E5E5E5"/>
            </w:tcBorders>
            <w:tcMar>
              <w:top w:w="120" w:type="dxa"/>
              <w:left w:w="0" w:type="dxa"/>
              <w:bottom w:w="120" w:type="dxa"/>
              <w:right w:w="240" w:type="dxa"/>
            </w:tcMar>
          </w:tcPr>
          <w:p w14:paraId="6B277026" w14:textId="77777777" w:rsidR="00A72F9D" w:rsidRDefault="00000000">
            <w:r>
              <w:rPr>
                <w:b/>
                <w:bCs/>
                <w:color w:val="6B6B6B"/>
                <w:spacing w:val="80"/>
                <w:sz w:val="18"/>
                <w:szCs w:val="18"/>
              </w:rPr>
              <w:t>CORE THESIS</w:t>
            </w:r>
          </w:p>
        </w:tc>
        <w:tc>
          <w:tcPr>
            <w:tcW w:w="6960" w:type="dxa"/>
            <w:tcBorders>
              <w:bottom w:val="single" w:sz="1" w:space="0" w:color="E5E5E5"/>
            </w:tcBorders>
            <w:tcMar>
              <w:top w:w="120" w:type="dxa"/>
              <w:left w:w="0" w:type="dxa"/>
              <w:bottom w:w="120" w:type="dxa"/>
              <w:right w:w="0" w:type="dxa"/>
            </w:tcMar>
          </w:tcPr>
          <w:p w14:paraId="63063F17" w14:textId="3D7D4DFD" w:rsidR="00A72F9D" w:rsidRDefault="00000000">
            <w:r>
              <w:rPr>
                <w:color w:val="1A1A1A"/>
              </w:rPr>
              <w:t xml:space="preserve">Value creation and revenue capture are structurally </w:t>
            </w:r>
            <w:r w:rsidR="001C22A8">
              <w:rPr>
                <w:color w:val="1A1A1A"/>
              </w:rPr>
              <w:t>decoupled.</w:t>
            </w:r>
          </w:p>
        </w:tc>
      </w:tr>
      <w:tr w:rsidR="00A72F9D" w14:paraId="6DBD7D95" w14:textId="77777777">
        <w:tblPrEx>
          <w:tblCellMar>
            <w:top w:w="0" w:type="dxa"/>
            <w:bottom w:w="0" w:type="dxa"/>
          </w:tblCellMar>
        </w:tblPrEx>
        <w:tc>
          <w:tcPr>
            <w:tcW w:w="2400" w:type="dxa"/>
            <w:tcBorders>
              <w:bottom w:val="single" w:sz="1" w:space="0" w:color="E5E5E5"/>
            </w:tcBorders>
            <w:tcMar>
              <w:top w:w="120" w:type="dxa"/>
              <w:left w:w="0" w:type="dxa"/>
              <w:bottom w:w="120" w:type="dxa"/>
              <w:right w:w="240" w:type="dxa"/>
            </w:tcMar>
          </w:tcPr>
          <w:p w14:paraId="39871944" w14:textId="77777777" w:rsidR="00A72F9D" w:rsidRDefault="00000000">
            <w:r>
              <w:rPr>
                <w:b/>
                <w:bCs/>
                <w:color w:val="6B6B6B"/>
                <w:spacing w:val="80"/>
                <w:sz w:val="18"/>
                <w:szCs w:val="18"/>
              </w:rPr>
              <w:t>ESTIMATED OPPORTUNITY</w:t>
            </w:r>
          </w:p>
        </w:tc>
        <w:tc>
          <w:tcPr>
            <w:tcW w:w="6960" w:type="dxa"/>
            <w:tcBorders>
              <w:bottom w:val="single" w:sz="1" w:space="0" w:color="E5E5E5"/>
            </w:tcBorders>
            <w:tcMar>
              <w:top w:w="120" w:type="dxa"/>
              <w:left w:w="0" w:type="dxa"/>
              <w:bottom w:w="120" w:type="dxa"/>
              <w:right w:w="0" w:type="dxa"/>
            </w:tcMar>
          </w:tcPr>
          <w:p w14:paraId="0EE1210C" w14:textId="77777777" w:rsidR="00A72F9D" w:rsidRDefault="00000000">
            <w:r>
              <w:rPr>
                <w:color w:val="1A1A1A"/>
              </w:rPr>
              <w:t>$95M – $135M ARR — Without New Users or New Products</w:t>
            </w:r>
          </w:p>
        </w:tc>
      </w:tr>
    </w:tbl>
    <w:p w14:paraId="1987AE20" w14:textId="77777777" w:rsidR="00A72F9D" w:rsidRDefault="00A72F9D">
      <w:pPr>
        <w:spacing w:before="4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A72F9D" w14:paraId="11C4FDD0" w14:textId="77777777">
        <w:tblPrEx>
          <w:tblCellMar>
            <w:top w:w="0" w:type="dxa"/>
            <w:bottom w:w="0" w:type="dxa"/>
          </w:tblCellMar>
        </w:tblPrEx>
        <w:tc>
          <w:tcPr>
            <w:tcW w:w="9360" w:type="dxa"/>
            <w:shd w:val="clear" w:color="auto" w:fill="E8251A"/>
            <w:tcMar>
              <w:top w:w="140" w:type="dxa"/>
              <w:left w:w="300" w:type="dxa"/>
              <w:bottom w:w="140" w:type="dxa"/>
              <w:right w:w="300" w:type="dxa"/>
            </w:tcMar>
          </w:tcPr>
          <w:p w14:paraId="052FB1CF" w14:textId="1076B367" w:rsidR="00A72F9D" w:rsidRDefault="00000000">
            <w:pPr>
              <w:jc w:val="center"/>
            </w:pPr>
            <w:r>
              <w:rPr>
                <w:b/>
                <w:bCs/>
                <w:color w:val="FFFFFF"/>
                <w:spacing w:val="120"/>
                <w:sz w:val="18"/>
                <w:szCs w:val="18"/>
              </w:rPr>
              <w:t>C</w:t>
            </w:r>
            <w:r w:rsidR="001C22A8">
              <w:rPr>
                <w:b/>
                <w:bCs/>
                <w:color w:val="FFFFFF"/>
                <w:spacing w:val="120"/>
                <w:sz w:val="18"/>
                <w:szCs w:val="18"/>
              </w:rPr>
              <w:t>ASE STUDY</w:t>
            </w:r>
            <w:r>
              <w:rPr>
                <w:b/>
                <w:bCs/>
                <w:color w:val="FFFFFF"/>
                <w:spacing w:val="120"/>
                <w:sz w:val="18"/>
                <w:szCs w:val="18"/>
              </w:rPr>
              <w:t xml:space="preserve">  ·  PORTFOLIO ASSET  ·</w:t>
            </w:r>
          </w:p>
        </w:tc>
      </w:tr>
    </w:tbl>
    <w:p w14:paraId="4D49BD19" w14:textId="77777777" w:rsidR="00A72F9D" w:rsidRDefault="00000000">
      <w:r>
        <w:br w:type="page"/>
      </w:r>
    </w:p>
    <w:p w14:paraId="20E84C30" w14:textId="77777777" w:rsidR="00A72F9D" w:rsidRDefault="00000000">
      <w:pPr>
        <w:spacing w:before="360" w:after="80"/>
      </w:pPr>
      <w:r>
        <w:rPr>
          <w:b/>
          <w:bCs/>
          <w:color w:val="E8251A"/>
          <w:spacing w:val="120"/>
          <w:sz w:val="16"/>
          <w:szCs w:val="16"/>
        </w:rPr>
        <w:lastRenderedPageBreak/>
        <w:t>00 / EXECUTIVE SUMMARY</w:t>
      </w:r>
    </w:p>
    <w:p w14:paraId="0ABF9AB1" w14:textId="77777777" w:rsidR="00A72F9D" w:rsidRDefault="00000000">
      <w:pPr>
        <w:spacing w:before="60" w:after="200"/>
      </w:pPr>
      <w:r>
        <w:rPr>
          <w:b/>
          <w:bCs/>
          <w:color w:val="0A0A0A"/>
          <w:sz w:val="48"/>
          <w:szCs w:val="48"/>
        </w:rPr>
        <w:t>The Case in Two Sentences</w:t>
      </w:r>
    </w:p>
    <w:p w14:paraId="739E3630" w14:textId="77777777" w:rsidR="00A72F9D" w:rsidRDefault="00000000">
      <w:pPr>
        <w:spacing w:before="80" w:after="80"/>
      </w:pPr>
      <w:r>
        <w:t>Notion has built one of the most effective product-led growth engines in SaaS. It has not built a revenue architecture to match.</w:t>
      </w:r>
    </w:p>
    <w:p w14:paraId="1791D0FE" w14:textId="77777777" w:rsidR="00A72F9D" w:rsidRDefault="00A72F9D">
      <w:pPr>
        <w:spacing w:before="80"/>
      </w:pPr>
    </w:p>
    <w:p w14:paraId="500B55FF" w14:textId="77777777" w:rsidR="00A72F9D" w:rsidRDefault="00000000">
      <w:pPr>
        <w:spacing w:before="80" w:after="80"/>
      </w:pPr>
      <w:r>
        <w:t>The free tier is exceptional. Viral team adoption is real. Dependency compounds at every stage. And yet: upgrades are friction-triggered, not value-aligned. The result is a structural gap — not a growth gap — between what Notion delivers and what it captures.</w:t>
      </w:r>
    </w:p>
    <w:p w14:paraId="5DEEFA8A" w14:textId="77777777" w:rsidR="00A72F9D" w:rsidRDefault="00A72F9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0" w:type="dxa"/>
          <w:left w:w="10" w:type="dxa"/>
          <w:bottom w:w="200" w:type="dxa"/>
          <w:right w:w="10" w:type="dxa"/>
        </w:tblCellMar>
        <w:tblLook w:val="04A0" w:firstRow="1" w:lastRow="0" w:firstColumn="1" w:lastColumn="0" w:noHBand="0" w:noVBand="1"/>
      </w:tblPr>
      <w:tblGrid>
        <w:gridCol w:w="9360"/>
      </w:tblGrid>
      <w:tr w:rsidR="00A72F9D" w14:paraId="2A05446F" w14:textId="77777777">
        <w:tc>
          <w:tcPr>
            <w:tcW w:w="9360" w:type="dxa"/>
            <w:tcBorders>
              <w:left w:val="single" w:sz="20" w:space="0" w:color="E8251A"/>
            </w:tcBorders>
            <w:shd w:val="clear" w:color="auto" w:fill="F5F5F5"/>
            <w:tcMar>
              <w:top w:w="200" w:type="dxa"/>
              <w:left w:w="360" w:type="dxa"/>
              <w:bottom w:w="200" w:type="dxa"/>
              <w:right w:w="240" w:type="dxa"/>
            </w:tcMar>
          </w:tcPr>
          <w:p w14:paraId="340E7758" w14:textId="77777777" w:rsidR="00A72F9D" w:rsidRDefault="00000000">
            <w:r>
              <w:rPr>
                <w:b/>
                <w:bCs/>
                <w:i/>
                <w:iCs/>
                <w:color w:val="1A1A1A"/>
                <w:sz w:val="26"/>
                <w:szCs w:val="26"/>
              </w:rPr>
              <w:t>The gap between value delivered and revenue captured represents an estimated $95M–$135M in annual recurring revenue — accessible without new product lines, without a single new user.</w:t>
            </w:r>
          </w:p>
        </w:tc>
      </w:tr>
    </w:tbl>
    <w:p w14:paraId="271F2B85" w14:textId="77777777" w:rsidR="00A72F9D" w:rsidRDefault="00A72F9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A72F9D" w14:paraId="57310CFD" w14:textId="77777777">
        <w:tblPrEx>
          <w:tblCellMar>
            <w:top w:w="0" w:type="dxa"/>
            <w:bottom w:w="0" w:type="dxa"/>
          </w:tblCellMar>
        </w:tblPrEx>
        <w:tc>
          <w:tcPr>
            <w:tcW w:w="3120" w:type="dxa"/>
            <w:tcBorders>
              <w:right w:val="single" w:sz="2" w:space="0" w:color="E5E5E5"/>
            </w:tcBorders>
            <w:shd w:val="clear" w:color="auto" w:fill="F5F5F5"/>
            <w:tcMar>
              <w:top w:w="240" w:type="dxa"/>
              <w:left w:w="240" w:type="dxa"/>
              <w:bottom w:w="240" w:type="dxa"/>
              <w:right w:w="240" w:type="dxa"/>
            </w:tcMar>
          </w:tcPr>
          <w:p w14:paraId="71D554F2" w14:textId="77777777" w:rsidR="00A72F9D" w:rsidRDefault="00000000">
            <w:pPr>
              <w:jc w:val="center"/>
            </w:pPr>
            <w:r>
              <w:rPr>
                <w:b/>
                <w:bCs/>
                <w:color w:val="E8251A"/>
                <w:sz w:val="52"/>
                <w:szCs w:val="52"/>
              </w:rPr>
              <w:t>$95M–$135M</w:t>
            </w:r>
          </w:p>
          <w:p w14:paraId="2028BAA2" w14:textId="77777777" w:rsidR="00A72F9D" w:rsidRDefault="00000000">
            <w:pPr>
              <w:jc w:val="center"/>
            </w:pPr>
            <w:r>
              <w:rPr>
                <w:color w:val="6B6B6B"/>
                <w:sz w:val="18"/>
                <w:szCs w:val="18"/>
              </w:rPr>
              <w:t>Modeled ARR Opportunity</w:t>
            </w:r>
          </w:p>
        </w:tc>
        <w:tc>
          <w:tcPr>
            <w:tcW w:w="3120" w:type="dxa"/>
            <w:tcBorders>
              <w:right w:val="single" w:sz="2" w:space="0" w:color="E5E5E5"/>
            </w:tcBorders>
            <w:shd w:val="clear" w:color="auto" w:fill="F5F5F5"/>
            <w:tcMar>
              <w:top w:w="240" w:type="dxa"/>
              <w:left w:w="240" w:type="dxa"/>
              <w:bottom w:w="240" w:type="dxa"/>
              <w:right w:w="240" w:type="dxa"/>
            </w:tcMar>
          </w:tcPr>
          <w:p w14:paraId="558C8FEC" w14:textId="77777777" w:rsidR="00A72F9D" w:rsidRDefault="00000000">
            <w:pPr>
              <w:jc w:val="center"/>
            </w:pPr>
            <w:r>
              <w:rPr>
                <w:b/>
                <w:bCs/>
                <w:color w:val="E8251A"/>
                <w:sz w:val="52"/>
                <w:szCs w:val="52"/>
              </w:rPr>
              <w:t>~87–95%</w:t>
            </w:r>
          </w:p>
          <w:p w14:paraId="0C7A3DFC" w14:textId="77777777" w:rsidR="00A72F9D" w:rsidRDefault="00000000">
            <w:pPr>
              <w:jc w:val="center"/>
            </w:pPr>
            <w:r>
              <w:rPr>
                <w:color w:val="6B6B6B"/>
                <w:sz w:val="18"/>
                <w:szCs w:val="18"/>
              </w:rPr>
              <w:t>Free Users — Unpaid Today</w:t>
            </w:r>
          </w:p>
        </w:tc>
        <w:tc>
          <w:tcPr>
            <w:tcW w:w="3120" w:type="dxa"/>
            <w:shd w:val="clear" w:color="auto" w:fill="F5F5F5"/>
            <w:tcMar>
              <w:top w:w="240" w:type="dxa"/>
              <w:left w:w="240" w:type="dxa"/>
              <w:bottom w:w="240" w:type="dxa"/>
              <w:right w:w="240" w:type="dxa"/>
            </w:tcMar>
          </w:tcPr>
          <w:p w14:paraId="48A89994" w14:textId="77777777" w:rsidR="00A72F9D" w:rsidRDefault="00000000">
            <w:pPr>
              <w:jc w:val="center"/>
            </w:pPr>
            <w:r>
              <w:rPr>
                <w:b/>
                <w:bCs/>
                <w:color w:val="E8251A"/>
                <w:sz w:val="52"/>
                <w:szCs w:val="52"/>
              </w:rPr>
              <w:t>5,000+</w:t>
            </w:r>
          </w:p>
          <w:p w14:paraId="0718A2FA" w14:textId="77777777" w:rsidR="00A72F9D" w:rsidRDefault="00000000">
            <w:pPr>
              <w:jc w:val="center"/>
            </w:pPr>
            <w:r>
              <w:rPr>
                <w:color w:val="6B6B6B"/>
                <w:sz w:val="18"/>
                <w:szCs w:val="18"/>
              </w:rPr>
              <w:t xml:space="preserve">Mid-Market Teams </w:t>
            </w:r>
            <w:proofErr w:type="spellStart"/>
            <w:r>
              <w:rPr>
                <w:color w:val="6B6B6B"/>
                <w:sz w:val="18"/>
                <w:szCs w:val="18"/>
              </w:rPr>
              <w:t>Undermonetized</w:t>
            </w:r>
            <w:proofErr w:type="spellEnd"/>
          </w:p>
        </w:tc>
      </w:tr>
    </w:tbl>
    <w:p w14:paraId="0FCC1A48" w14:textId="77777777" w:rsidR="00A72F9D" w:rsidRDefault="00A72F9D">
      <w:pPr>
        <w:spacing w:before="240"/>
      </w:pPr>
    </w:p>
    <w:p w14:paraId="241903DD" w14:textId="77777777" w:rsidR="00A72F9D" w:rsidRDefault="00000000">
      <w:r>
        <w:br w:type="page"/>
      </w:r>
    </w:p>
    <w:p w14:paraId="6EB6089A" w14:textId="77777777" w:rsidR="00A72F9D" w:rsidRDefault="00000000">
      <w:pPr>
        <w:spacing w:before="360" w:after="80"/>
      </w:pPr>
      <w:r>
        <w:rPr>
          <w:b/>
          <w:bCs/>
          <w:color w:val="E8251A"/>
          <w:spacing w:val="120"/>
          <w:sz w:val="16"/>
          <w:szCs w:val="16"/>
        </w:rPr>
        <w:lastRenderedPageBreak/>
        <w:t>01 / CORE INSIGHT</w:t>
      </w:r>
    </w:p>
    <w:p w14:paraId="5874FB8C" w14:textId="77777777" w:rsidR="00A72F9D" w:rsidRDefault="00000000">
      <w:pPr>
        <w:spacing w:before="60" w:after="200"/>
      </w:pPr>
      <w:r>
        <w:rPr>
          <w:b/>
          <w:bCs/>
          <w:color w:val="0A0A0A"/>
          <w:sz w:val="48"/>
          <w:szCs w:val="48"/>
        </w:rPr>
        <w:t>Value Compounds. Revenue Doesn't Follow.</w:t>
      </w:r>
    </w:p>
    <w:p w14:paraId="1AE31097" w14:textId="39BEE646" w:rsidR="00A72F9D" w:rsidRDefault="00000000">
      <w:pPr>
        <w:spacing w:before="80" w:after="80"/>
      </w:pPr>
      <w:r>
        <w:t xml:space="preserve">Notion's value delivery is front-loaded and accelerating. Users build deep </w:t>
      </w:r>
      <w:r w:rsidR="001C22A8">
        <w:t>dependencies—personal</w:t>
      </w:r>
      <w:r>
        <w:t xml:space="preserve"> workflows, team knowledge bases, operational systems — long before any monetization moment arrives. By the time a payment is triggered, it is driven by friction, not gratitude.</w:t>
      </w:r>
    </w:p>
    <w:p w14:paraId="14002575" w14:textId="77777777" w:rsidR="00A72F9D" w:rsidRDefault="00A72F9D">
      <w:pPr>
        <w:spacing w:before="80"/>
      </w:pPr>
    </w:p>
    <w:p w14:paraId="64A9C09C" w14:textId="77777777" w:rsidR="00A72F9D" w:rsidRDefault="00000000">
      <w:pPr>
        <w:spacing w:before="80" w:after="80"/>
      </w:pPr>
      <w:r>
        <w:t>This is not a design accident. It is a structural misalignment: the gap between what users receive and what Notion captures widens at every stage of the journey.</w:t>
      </w:r>
    </w:p>
    <w:p w14:paraId="5F4F08F8" w14:textId="77777777" w:rsidR="00A72F9D" w:rsidRDefault="00A72F9D">
      <w:pPr>
        <w:spacing w:before="160"/>
      </w:pPr>
    </w:p>
    <w:p w14:paraId="76180C4C" w14:textId="77777777" w:rsidR="00A72F9D" w:rsidRDefault="00000000">
      <w:pPr>
        <w:spacing w:after="80"/>
        <w:rPr>
          <w:b/>
          <w:bCs/>
          <w:color w:val="6B6B6B"/>
          <w:spacing w:val="100"/>
          <w:sz w:val="20"/>
          <w:szCs w:val="20"/>
        </w:rPr>
      </w:pPr>
      <w:r>
        <w:rPr>
          <w:b/>
          <w:bCs/>
          <w:color w:val="6B6B6B"/>
          <w:spacing w:val="100"/>
          <w:sz w:val="20"/>
          <w:szCs w:val="20"/>
        </w:rPr>
        <w:t>FIGURE 01  ·  VALUE VS. REVENUE CURVE</w:t>
      </w:r>
    </w:p>
    <w:p w14:paraId="01AF6DA5" w14:textId="6FCFB9E9" w:rsidR="002C3358" w:rsidRDefault="002C3358" w:rsidP="002C3358">
      <w:pPr>
        <w:spacing w:before="240" w:after="80"/>
      </w:pPr>
      <w:r>
        <w:rPr>
          <w:noProof/>
        </w:rPr>
        <w:drawing>
          <wp:inline distT="0" distB="0" distL="0" distR="0" wp14:anchorId="0F1C0F24" wp14:editId="70BCD52F">
            <wp:extent cx="6400800" cy="3602355"/>
            <wp:effectExtent l="0" t="0" r="0" b="0"/>
            <wp:docPr id="156862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4568" name="Picture 15686245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602355"/>
                    </a:xfrm>
                    <a:prstGeom prst="rect">
                      <a:avLst/>
                    </a:prstGeom>
                  </pic:spPr>
                </pic:pic>
              </a:graphicData>
            </a:graphic>
          </wp:inline>
        </w:drawing>
      </w:r>
    </w:p>
    <w:p w14:paraId="016078C3" w14:textId="74CF8EFD" w:rsidR="00A72F9D" w:rsidRDefault="002C3358" w:rsidP="002C3358">
      <w:pPr>
        <w:spacing w:before="160"/>
        <w:jc w:val="center"/>
        <w:rPr>
          <w:color w:val="6B6B6B"/>
          <w:sz w:val="20"/>
          <w:szCs w:val="20"/>
        </w:rPr>
      </w:pPr>
      <w:r>
        <w:rPr>
          <w:color w:val="6B6B6B"/>
          <w:sz w:val="20"/>
          <w:szCs w:val="20"/>
        </w:rPr>
        <w:t>Value created early, compounding with team dependency. Revenue captured late — triggered by constraint, not realization.</w:t>
      </w:r>
    </w:p>
    <w:p w14:paraId="2C8B38A3" w14:textId="77777777" w:rsidR="002C3358" w:rsidRDefault="002C3358">
      <w:pPr>
        <w:spacing w:before="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0" w:type="dxa"/>
          <w:left w:w="10" w:type="dxa"/>
          <w:bottom w:w="200" w:type="dxa"/>
          <w:right w:w="10" w:type="dxa"/>
        </w:tblCellMar>
        <w:tblLook w:val="04A0" w:firstRow="1" w:lastRow="0" w:firstColumn="1" w:lastColumn="0" w:noHBand="0" w:noVBand="1"/>
      </w:tblPr>
      <w:tblGrid>
        <w:gridCol w:w="9360"/>
      </w:tblGrid>
      <w:tr w:rsidR="00A72F9D" w14:paraId="04AE1BD4" w14:textId="77777777">
        <w:tc>
          <w:tcPr>
            <w:tcW w:w="9360" w:type="dxa"/>
            <w:tcBorders>
              <w:left w:val="single" w:sz="20" w:space="0" w:color="E8251A"/>
            </w:tcBorders>
            <w:shd w:val="clear" w:color="auto" w:fill="F5F5F5"/>
            <w:tcMar>
              <w:top w:w="200" w:type="dxa"/>
              <w:left w:w="360" w:type="dxa"/>
              <w:bottom w:w="200" w:type="dxa"/>
              <w:right w:w="240" w:type="dxa"/>
            </w:tcMar>
          </w:tcPr>
          <w:p w14:paraId="6D057032" w14:textId="77777777" w:rsidR="00A72F9D" w:rsidRDefault="00000000">
            <w:r>
              <w:rPr>
                <w:b/>
                <w:bCs/>
                <w:i/>
                <w:iCs/>
                <w:color w:val="1A1A1A"/>
                <w:sz w:val="26"/>
                <w:szCs w:val="26"/>
              </w:rPr>
              <w:t>The monetization gap is not the result of weak marketing or poor product quality. It is the result of revenue architecture that fires too late. Every stage of the user journey creates value. Almost none of it is captured in real time.</w:t>
            </w:r>
          </w:p>
        </w:tc>
      </w:tr>
    </w:tbl>
    <w:p w14:paraId="266E3968" w14:textId="77777777" w:rsidR="00A72F9D" w:rsidRDefault="00A72F9D">
      <w:pPr>
        <w:spacing w:before="240"/>
      </w:pPr>
    </w:p>
    <w:p w14:paraId="6D9D16C2" w14:textId="77777777" w:rsidR="00A72F9D" w:rsidRDefault="00000000">
      <w:r>
        <w:br w:type="page"/>
      </w:r>
    </w:p>
    <w:p w14:paraId="3E7EF15C" w14:textId="77777777" w:rsidR="00A72F9D" w:rsidRDefault="00000000">
      <w:pPr>
        <w:spacing w:before="360" w:after="80"/>
      </w:pPr>
      <w:r>
        <w:rPr>
          <w:b/>
          <w:bCs/>
          <w:color w:val="E8251A"/>
          <w:spacing w:val="120"/>
          <w:sz w:val="16"/>
          <w:szCs w:val="16"/>
        </w:rPr>
        <w:lastRenderedPageBreak/>
        <w:t>02 / PROBLEM BREAKDOWN</w:t>
      </w:r>
    </w:p>
    <w:p w14:paraId="26FE2B05" w14:textId="77777777" w:rsidR="00A72F9D" w:rsidRDefault="00000000">
      <w:pPr>
        <w:spacing w:before="60" w:after="200"/>
      </w:pPr>
      <w:r>
        <w:rPr>
          <w:b/>
          <w:bCs/>
          <w:color w:val="0A0A0A"/>
          <w:sz w:val="48"/>
          <w:szCs w:val="48"/>
        </w:rPr>
        <w:t>The System Failure Across Four Stages</w:t>
      </w:r>
    </w:p>
    <w:p w14:paraId="7FC51510" w14:textId="77777777" w:rsidR="00A72F9D" w:rsidRDefault="00000000">
      <w:pPr>
        <w:spacing w:before="80" w:after="80"/>
      </w:pPr>
      <w:r>
        <w:t>The monetization failure is not a single point of weakness. It is a cascading misalignment across every stage of the user journey. Each stage creates compounding value. Each stage fails to capture it.</w:t>
      </w:r>
    </w:p>
    <w:p w14:paraId="46C5F422" w14:textId="77777777" w:rsidR="00A72F9D" w:rsidRDefault="00A72F9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A72F9D" w14:paraId="544AF42E" w14:textId="77777777">
        <w:tblPrEx>
          <w:tblCellMar>
            <w:top w:w="0" w:type="dxa"/>
            <w:bottom w:w="0" w:type="dxa"/>
          </w:tblCellMar>
        </w:tblPrEx>
        <w:tc>
          <w:tcPr>
            <w:tcW w:w="720" w:type="dxa"/>
            <w:shd w:val="clear" w:color="auto" w:fill="E8251A"/>
            <w:tcMar>
              <w:top w:w="180" w:type="dxa"/>
              <w:left w:w="160" w:type="dxa"/>
              <w:bottom w:w="180" w:type="dxa"/>
              <w:right w:w="160" w:type="dxa"/>
            </w:tcMar>
            <w:vAlign w:val="center"/>
          </w:tcPr>
          <w:p w14:paraId="333396CB" w14:textId="77777777" w:rsidR="00A72F9D" w:rsidRDefault="00000000">
            <w:pPr>
              <w:jc w:val="center"/>
            </w:pPr>
            <w:r>
              <w:rPr>
                <w:b/>
                <w:bCs/>
                <w:color w:val="FFFFFF"/>
                <w:sz w:val="28"/>
                <w:szCs w:val="28"/>
              </w:rPr>
              <w:t>01</w:t>
            </w:r>
          </w:p>
        </w:tc>
        <w:tc>
          <w:tcPr>
            <w:tcW w:w="8640" w:type="dxa"/>
            <w:tcBorders>
              <w:bottom w:val="single" w:sz="1" w:space="0" w:color="E5E5E5"/>
            </w:tcBorders>
            <w:shd w:val="clear" w:color="auto" w:fill="FFFFFF"/>
            <w:tcMar>
              <w:top w:w="180" w:type="dxa"/>
              <w:left w:w="280" w:type="dxa"/>
              <w:bottom w:w="180" w:type="dxa"/>
              <w:right w:w="0" w:type="dxa"/>
            </w:tcMar>
          </w:tcPr>
          <w:p w14:paraId="5D2CA670" w14:textId="77777777" w:rsidR="00A72F9D" w:rsidRDefault="00000000">
            <w:r>
              <w:rPr>
                <w:b/>
                <w:bCs/>
                <w:color w:val="1A1A1A"/>
                <w:sz w:val="26"/>
                <w:szCs w:val="26"/>
              </w:rPr>
              <w:t>Individual Usage</w:t>
            </w:r>
            <w:r>
              <w:rPr>
                <w:color w:val="E8251A"/>
              </w:rPr>
              <w:t xml:space="preserve">  —  High value. Zero monetization.</w:t>
            </w:r>
          </w:p>
          <w:p w14:paraId="14F9F57A" w14:textId="4B93A992" w:rsidR="00A72F9D" w:rsidRDefault="00000000">
            <w:pPr>
              <w:spacing w:before="80"/>
            </w:pPr>
            <w:r>
              <w:rPr>
                <w:sz w:val="20"/>
                <w:szCs w:val="20"/>
              </w:rPr>
              <w:t xml:space="preserve">Users build full operating systems in Notion — notes, projects, </w:t>
            </w:r>
            <w:r w:rsidR="001C22A8">
              <w:rPr>
                <w:sz w:val="20"/>
                <w:szCs w:val="20"/>
              </w:rPr>
              <w:t>databases, and</w:t>
            </w:r>
            <w:r>
              <w:rPr>
                <w:sz w:val="20"/>
                <w:szCs w:val="20"/>
              </w:rPr>
              <w:t xml:space="preserve"> second brains. The free tier is effectively unlimited for solo use. Engagement is deep. Revenue pressure is </w:t>
            </w:r>
            <w:proofErr w:type="spellStart"/>
            <w:r>
              <w:rPr>
                <w:sz w:val="20"/>
                <w:szCs w:val="20"/>
              </w:rPr>
              <w:t>nonexistent</w:t>
            </w:r>
            <w:proofErr w:type="spellEnd"/>
            <w:r>
              <w:rPr>
                <w:sz w:val="20"/>
                <w:szCs w:val="20"/>
              </w:rPr>
              <w:t>. Notion funds this stage entirely through goodwill.</w:t>
            </w:r>
          </w:p>
        </w:tc>
      </w:tr>
    </w:tbl>
    <w:p w14:paraId="5A865EA7" w14:textId="77777777" w:rsidR="00A72F9D" w:rsidRDefault="00A72F9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A72F9D" w14:paraId="11289F80" w14:textId="77777777">
        <w:tblPrEx>
          <w:tblCellMar>
            <w:top w:w="0" w:type="dxa"/>
            <w:bottom w:w="0" w:type="dxa"/>
          </w:tblCellMar>
        </w:tblPrEx>
        <w:tc>
          <w:tcPr>
            <w:tcW w:w="720" w:type="dxa"/>
            <w:shd w:val="clear" w:color="auto" w:fill="E8251A"/>
            <w:tcMar>
              <w:top w:w="180" w:type="dxa"/>
              <w:left w:w="160" w:type="dxa"/>
              <w:bottom w:w="180" w:type="dxa"/>
              <w:right w:w="160" w:type="dxa"/>
            </w:tcMar>
            <w:vAlign w:val="center"/>
          </w:tcPr>
          <w:p w14:paraId="6FEA139E" w14:textId="77777777" w:rsidR="00A72F9D" w:rsidRDefault="00000000">
            <w:pPr>
              <w:jc w:val="center"/>
            </w:pPr>
            <w:r>
              <w:rPr>
                <w:b/>
                <w:bCs/>
                <w:color w:val="FFFFFF"/>
                <w:sz w:val="28"/>
                <w:szCs w:val="28"/>
              </w:rPr>
              <w:t>02</w:t>
            </w:r>
          </w:p>
        </w:tc>
        <w:tc>
          <w:tcPr>
            <w:tcW w:w="8640" w:type="dxa"/>
            <w:tcBorders>
              <w:bottom w:val="single" w:sz="1" w:space="0" w:color="E5E5E5"/>
            </w:tcBorders>
            <w:shd w:val="clear" w:color="auto" w:fill="FFFFFF"/>
            <w:tcMar>
              <w:top w:w="180" w:type="dxa"/>
              <w:left w:w="280" w:type="dxa"/>
              <w:bottom w:w="180" w:type="dxa"/>
              <w:right w:w="0" w:type="dxa"/>
            </w:tcMar>
          </w:tcPr>
          <w:p w14:paraId="01FF8445" w14:textId="77777777" w:rsidR="00A72F9D" w:rsidRDefault="00000000">
            <w:r>
              <w:rPr>
                <w:b/>
                <w:bCs/>
                <w:color w:val="1A1A1A"/>
                <w:sz w:val="26"/>
                <w:szCs w:val="26"/>
              </w:rPr>
              <w:t>Team Formation</w:t>
            </w:r>
            <w:r>
              <w:rPr>
                <w:color w:val="E8251A"/>
              </w:rPr>
              <w:t xml:space="preserve">  —  Collaboration scales. Revenue doesn't.</w:t>
            </w:r>
          </w:p>
          <w:p w14:paraId="428205E3" w14:textId="6A3D2631" w:rsidR="00A72F9D" w:rsidRDefault="00000000">
            <w:pPr>
              <w:spacing w:before="80"/>
            </w:pPr>
            <w:r>
              <w:rPr>
                <w:sz w:val="20"/>
                <w:szCs w:val="20"/>
              </w:rPr>
              <w:t xml:space="preserve">As teams form organically — sharing pages, building shared wikis — Notion's viral loop activates. New members join free. Workflows deepen. The workspace becomes mission-critical. Revenue remains flat. Guests don't </w:t>
            </w:r>
            <w:r w:rsidR="001C22A8">
              <w:rPr>
                <w:sz w:val="20"/>
                <w:szCs w:val="20"/>
              </w:rPr>
              <w:t>pay for</w:t>
            </w:r>
            <w:r>
              <w:rPr>
                <w:sz w:val="20"/>
                <w:szCs w:val="20"/>
              </w:rPr>
              <w:t xml:space="preserve"> seats.</w:t>
            </w:r>
          </w:p>
        </w:tc>
      </w:tr>
    </w:tbl>
    <w:p w14:paraId="5E7BA74C" w14:textId="77777777" w:rsidR="00A72F9D" w:rsidRDefault="00A72F9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A72F9D" w14:paraId="5C60A93D" w14:textId="77777777">
        <w:tblPrEx>
          <w:tblCellMar>
            <w:top w:w="0" w:type="dxa"/>
            <w:bottom w:w="0" w:type="dxa"/>
          </w:tblCellMar>
        </w:tblPrEx>
        <w:tc>
          <w:tcPr>
            <w:tcW w:w="720" w:type="dxa"/>
            <w:shd w:val="clear" w:color="auto" w:fill="E8251A"/>
            <w:tcMar>
              <w:top w:w="180" w:type="dxa"/>
              <w:left w:w="160" w:type="dxa"/>
              <w:bottom w:w="180" w:type="dxa"/>
              <w:right w:w="160" w:type="dxa"/>
            </w:tcMar>
            <w:vAlign w:val="center"/>
          </w:tcPr>
          <w:p w14:paraId="48CDF87C" w14:textId="77777777" w:rsidR="00A72F9D" w:rsidRDefault="00000000">
            <w:pPr>
              <w:jc w:val="center"/>
            </w:pPr>
            <w:r>
              <w:rPr>
                <w:b/>
                <w:bCs/>
                <w:color w:val="FFFFFF"/>
                <w:sz w:val="28"/>
                <w:szCs w:val="28"/>
              </w:rPr>
              <w:t>03</w:t>
            </w:r>
          </w:p>
        </w:tc>
        <w:tc>
          <w:tcPr>
            <w:tcW w:w="8640" w:type="dxa"/>
            <w:tcBorders>
              <w:bottom w:val="single" w:sz="1" w:space="0" w:color="E5E5E5"/>
            </w:tcBorders>
            <w:shd w:val="clear" w:color="auto" w:fill="FFFFFF"/>
            <w:tcMar>
              <w:top w:w="180" w:type="dxa"/>
              <w:left w:w="280" w:type="dxa"/>
              <w:bottom w:w="180" w:type="dxa"/>
              <w:right w:w="0" w:type="dxa"/>
            </w:tcMar>
          </w:tcPr>
          <w:p w14:paraId="20C279C7" w14:textId="77777777" w:rsidR="00A72F9D" w:rsidRDefault="00000000">
            <w:r>
              <w:rPr>
                <w:b/>
                <w:bCs/>
                <w:color w:val="1A1A1A"/>
                <w:sz w:val="26"/>
                <w:szCs w:val="26"/>
              </w:rPr>
              <w:t>Critical Usage</w:t>
            </w:r>
            <w:r>
              <w:rPr>
                <w:color w:val="E8251A"/>
              </w:rPr>
              <w:t xml:space="preserve">  —  Dependency is built. Upgrade trigger is wrong.</w:t>
            </w:r>
          </w:p>
          <w:p w14:paraId="5FC67AC4" w14:textId="5E1C16D9" w:rsidR="00A72F9D" w:rsidRDefault="00000000">
            <w:pPr>
              <w:spacing w:before="80"/>
            </w:pPr>
            <w:r>
              <w:rPr>
                <w:sz w:val="20"/>
                <w:szCs w:val="20"/>
              </w:rPr>
              <w:t xml:space="preserve">Notion is now embedded in daily operations — project tracking, </w:t>
            </w:r>
            <w:r w:rsidR="001C22A8">
              <w:rPr>
                <w:sz w:val="20"/>
                <w:szCs w:val="20"/>
              </w:rPr>
              <w:t>documentation, and</w:t>
            </w:r>
            <w:r>
              <w:rPr>
                <w:sz w:val="20"/>
                <w:szCs w:val="20"/>
              </w:rPr>
              <w:t xml:space="preserve"> meeting notes. Teams rely on it. Yet the upgrade signal is a friction wall: hit a guest limit, hit a file cap. Users feel locked out, not invited to invest. Churn risk spikes.</w:t>
            </w:r>
          </w:p>
        </w:tc>
      </w:tr>
    </w:tbl>
    <w:p w14:paraId="0349628E" w14:textId="77777777" w:rsidR="00A72F9D" w:rsidRDefault="00A72F9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A72F9D" w14:paraId="11C08DC9" w14:textId="77777777">
        <w:tblPrEx>
          <w:tblCellMar>
            <w:top w:w="0" w:type="dxa"/>
            <w:bottom w:w="0" w:type="dxa"/>
          </w:tblCellMar>
        </w:tblPrEx>
        <w:tc>
          <w:tcPr>
            <w:tcW w:w="720" w:type="dxa"/>
            <w:shd w:val="clear" w:color="auto" w:fill="E8251A"/>
            <w:tcMar>
              <w:top w:w="180" w:type="dxa"/>
              <w:left w:w="160" w:type="dxa"/>
              <w:bottom w:w="180" w:type="dxa"/>
              <w:right w:w="160" w:type="dxa"/>
            </w:tcMar>
            <w:vAlign w:val="center"/>
          </w:tcPr>
          <w:p w14:paraId="31568973" w14:textId="77777777" w:rsidR="00A72F9D" w:rsidRDefault="00000000">
            <w:pPr>
              <w:jc w:val="center"/>
            </w:pPr>
            <w:r>
              <w:rPr>
                <w:b/>
                <w:bCs/>
                <w:color w:val="FFFFFF"/>
                <w:sz w:val="28"/>
                <w:szCs w:val="28"/>
              </w:rPr>
              <w:t>04</w:t>
            </w:r>
          </w:p>
        </w:tc>
        <w:tc>
          <w:tcPr>
            <w:tcW w:w="8640" w:type="dxa"/>
            <w:tcBorders>
              <w:bottom w:val="single" w:sz="1" w:space="0" w:color="E5E5E5"/>
            </w:tcBorders>
            <w:shd w:val="clear" w:color="auto" w:fill="FFFFFF"/>
            <w:tcMar>
              <w:top w:w="180" w:type="dxa"/>
              <w:left w:w="280" w:type="dxa"/>
              <w:bottom w:w="180" w:type="dxa"/>
              <w:right w:w="0" w:type="dxa"/>
            </w:tcMar>
          </w:tcPr>
          <w:p w14:paraId="5FE3CC88" w14:textId="77777777" w:rsidR="00A72F9D" w:rsidRDefault="00000000">
            <w:r>
              <w:rPr>
                <w:b/>
                <w:bCs/>
                <w:color w:val="1A1A1A"/>
                <w:sz w:val="26"/>
                <w:szCs w:val="26"/>
              </w:rPr>
              <w:t>Enterprise Conversion</w:t>
            </w:r>
            <w:r>
              <w:rPr>
                <w:color w:val="E8251A"/>
              </w:rPr>
              <w:t xml:space="preserve">  —  Delayed, friction-heavy, sales-gated.</w:t>
            </w:r>
          </w:p>
          <w:p w14:paraId="412A6063" w14:textId="77777777" w:rsidR="00A72F9D" w:rsidRDefault="00000000">
            <w:pPr>
              <w:spacing w:before="80"/>
            </w:pPr>
            <w:r>
              <w:rPr>
                <w:sz w:val="20"/>
                <w:szCs w:val="20"/>
              </w:rPr>
              <w:t>High-usage organizations that should be Enterprise customers sit on Plus or free plans awaiting a sales conversation about SSO or compliance. The pathway is slow, manual, and fundamentally mismatched to how these teams already operate Notion.</w:t>
            </w:r>
          </w:p>
        </w:tc>
      </w:tr>
    </w:tbl>
    <w:p w14:paraId="230C0700" w14:textId="77777777" w:rsidR="00A72F9D" w:rsidRDefault="00A72F9D">
      <w:pPr>
        <w:spacing w:before="80"/>
      </w:pPr>
    </w:p>
    <w:p w14:paraId="1F756092" w14:textId="77777777" w:rsidR="00A72F9D" w:rsidRDefault="00A72F9D">
      <w:pPr>
        <w:spacing w:before="240"/>
      </w:pPr>
    </w:p>
    <w:p w14:paraId="75068525" w14:textId="77777777" w:rsidR="00A72F9D" w:rsidRDefault="00000000">
      <w:r>
        <w:br w:type="page"/>
      </w:r>
    </w:p>
    <w:p w14:paraId="162EE0EB" w14:textId="77777777" w:rsidR="00A72F9D" w:rsidRDefault="00000000">
      <w:pPr>
        <w:spacing w:before="360" w:after="80"/>
      </w:pPr>
      <w:r>
        <w:rPr>
          <w:b/>
          <w:bCs/>
          <w:color w:val="E8251A"/>
          <w:spacing w:val="120"/>
          <w:sz w:val="16"/>
          <w:szCs w:val="16"/>
        </w:rPr>
        <w:lastRenderedPageBreak/>
        <w:t>03 / DIAGNOSTIC</w:t>
      </w:r>
    </w:p>
    <w:p w14:paraId="1F77503E" w14:textId="77777777" w:rsidR="00A72F9D" w:rsidRDefault="00000000">
      <w:pPr>
        <w:spacing w:before="60" w:after="200"/>
      </w:pPr>
      <w:r>
        <w:rPr>
          <w:b/>
          <w:bCs/>
          <w:color w:val="0A0A0A"/>
          <w:sz w:val="48"/>
          <w:szCs w:val="48"/>
        </w:rPr>
        <w:t>Revenue Leak Map: Where the Money Disappears</w:t>
      </w:r>
    </w:p>
    <w:p w14:paraId="3F4E2F31" w14:textId="77777777" w:rsidR="00A72F9D" w:rsidRDefault="00000000">
      <w:pPr>
        <w:spacing w:before="80" w:after="80"/>
      </w:pPr>
      <w:r>
        <w:t>This is not a growth problem. The traffic flows. The activations happen. The usage deepens. What the map below reveals is that at each transition point in the user journey, Notion's system fails to convert compounding value into revenue.</w:t>
      </w:r>
    </w:p>
    <w:p w14:paraId="35754E62" w14:textId="77777777" w:rsidR="00A72F9D" w:rsidRDefault="00A72F9D">
      <w:pPr>
        <w:spacing w:before="120"/>
      </w:pPr>
    </w:p>
    <w:p w14:paraId="704CC86F" w14:textId="77777777" w:rsidR="00A72F9D" w:rsidRDefault="00000000">
      <w:pPr>
        <w:spacing w:after="80"/>
        <w:rPr>
          <w:b/>
          <w:bCs/>
          <w:color w:val="6B6B6B"/>
          <w:spacing w:val="100"/>
          <w:sz w:val="20"/>
          <w:szCs w:val="20"/>
        </w:rPr>
      </w:pPr>
      <w:r>
        <w:rPr>
          <w:b/>
          <w:bCs/>
          <w:color w:val="6B6B6B"/>
          <w:spacing w:val="100"/>
          <w:sz w:val="20"/>
          <w:szCs w:val="20"/>
        </w:rPr>
        <w:t>FIGURE 02  ·  REVENUE LEAK MAP</w:t>
      </w:r>
    </w:p>
    <w:p w14:paraId="0644165F" w14:textId="2D9C2598" w:rsidR="002C3358" w:rsidRDefault="002C3358" w:rsidP="002C3358">
      <w:pPr>
        <w:spacing w:before="240" w:after="80"/>
      </w:pPr>
      <w:r>
        <w:rPr>
          <w:noProof/>
        </w:rPr>
        <w:drawing>
          <wp:inline distT="0" distB="0" distL="0" distR="0" wp14:anchorId="5A5AF67C" wp14:editId="00A26301">
            <wp:extent cx="6400800" cy="3602355"/>
            <wp:effectExtent l="0" t="0" r="0" b="0"/>
            <wp:docPr id="487355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55203" name="Picture 4873552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602355"/>
                    </a:xfrm>
                    <a:prstGeom prst="rect">
                      <a:avLst/>
                    </a:prstGeom>
                  </pic:spPr>
                </pic:pic>
              </a:graphicData>
            </a:graphic>
          </wp:inline>
        </w:drawing>
      </w:r>
    </w:p>
    <w:p w14:paraId="17DF926E" w14:textId="77777777" w:rsidR="00A72F9D" w:rsidRDefault="00A72F9D">
      <w:pPr>
        <w:spacing w:before="80"/>
      </w:pPr>
    </w:p>
    <w:p w14:paraId="770154B5" w14:textId="77777777" w:rsidR="00A72F9D" w:rsidRDefault="00000000" w:rsidP="002C3358">
      <w:pPr>
        <w:spacing w:before="80" w:after="80"/>
        <w:jc w:val="center"/>
      </w:pPr>
      <w:r>
        <w:rPr>
          <w:i/>
          <w:iCs/>
          <w:color w:val="6B6B6B"/>
        </w:rPr>
        <w:t>Five discrete leak points across the journey. At each stage, value compounds — revenue capture remains flat and delayed.</w:t>
      </w:r>
    </w:p>
    <w:p w14:paraId="091BA04A" w14:textId="77777777" w:rsidR="00A72F9D" w:rsidRDefault="00A72F9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5"/>
        <w:gridCol w:w="1799"/>
        <w:gridCol w:w="3478"/>
        <w:gridCol w:w="3478"/>
      </w:tblGrid>
      <w:tr w:rsidR="00A72F9D" w14:paraId="6F8F8B24" w14:textId="77777777">
        <w:tblPrEx>
          <w:tblCellMar>
            <w:top w:w="0" w:type="dxa"/>
            <w:bottom w:w="0" w:type="dxa"/>
          </w:tblCellMar>
        </w:tblPrEx>
        <w:tc>
          <w:tcPr>
            <w:tcW w:w="600" w:type="dxa"/>
            <w:tcBorders>
              <w:bottom w:val="single" w:sz="4" w:space="0" w:color="1A1A1A"/>
            </w:tcBorders>
            <w:shd w:val="clear" w:color="auto" w:fill="1A1A1A"/>
            <w:tcMar>
              <w:top w:w="100" w:type="dxa"/>
              <w:left w:w="120" w:type="dxa"/>
              <w:bottom w:w="100" w:type="dxa"/>
              <w:right w:w="120" w:type="dxa"/>
            </w:tcMar>
          </w:tcPr>
          <w:p w14:paraId="03E0E62B" w14:textId="77777777" w:rsidR="00A72F9D" w:rsidRDefault="00000000">
            <w:r>
              <w:rPr>
                <w:b/>
                <w:bCs/>
                <w:color w:val="FFFFFF"/>
                <w:sz w:val="18"/>
                <w:szCs w:val="18"/>
              </w:rPr>
              <w:t>#</w:t>
            </w:r>
          </w:p>
        </w:tc>
        <w:tc>
          <w:tcPr>
            <w:tcW w:w="1800" w:type="dxa"/>
            <w:tcBorders>
              <w:bottom w:val="single" w:sz="4" w:space="0" w:color="1A1A1A"/>
            </w:tcBorders>
            <w:shd w:val="clear" w:color="auto" w:fill="1A1A1A"/>
            <w:tcMar>
              <w:top w:w="100" w:type="dxa"/>
              <w:left w:w="120" w:type="dxa"/>
              <w:bottom w:w="100" w:type="dxa"/>
              <w:right w:w="120" w:type="dxa"/>
            </w:tcMar>
          </w:tcPr>
          <w:p w14:paraId="65EAA455" w14:textId="77777777" w:rsidR="00A72F9D" w:rsidRDefault="00000000">
            <w:r>
              <w:rPr>
                <w:b/>
                <w:bCs/>
                <w:color w:val="FFFFFF"/>
                <w:sz w:val="18"/>
                <w:szCs w:val="18"/>
              </w:rPr>
              <w:t>STAGE</w:t>
            </w:r>
          </w:p>
        </w:tc>
        <w:tc>
          <w:tcPr>
            <w:tcW w:w="3480" w:type="dxa"/>
            <w:tcBorders>
              <w:bottom w:val="single" w:sz="4" w:space="0" w:color="1A1A1A"/>
            </w:tcBorders>
            <w:shd w:val="clear" w:color="auto" w:fill="1A1A1A"/>
            <w:tcMar>
              <w:top w:w="100" w:type="dxa"/>
              <w:left w:w="120" w:type="dxa"/>
              <w:bottom w:w="100" w:type="dxa"/>
              <w:right w:w="120" w:type="dxa"/>
            </w:tcMar>
          </w:tcPr>
          <w:p w14:paraId="75AF513A" w14:textId="77777777" w:rsidR="00A72F9D" w:rsidRDefault="00000000">
            <w:r>
              <w:rPr>
                <w:b/>
                <w:bCs/>
                <w:color w:val="FFFFFF"/>
                <w:sz w:val="18"/>
                <w:szCs w:val="18"/>
              </w:rPr>
              <w:t>SYSTEM FAILURE</w:t>
            </w:r>
          </w:p>
        </w:tc>
        <w:tc>
          <w:tcPr>
            <w:tcW w:w="3480" w:type="dxa"/>
            <w:tcBorders>
              <w:bottom w:val="single" w:sz="4" w:space="0" w:color="1A1A1A"/>
            </w:tcBorders>
            <w:shd w:val="clear" w:color="auto" w:fill="1A1A1A"/>
            <w:tcMar>
              <w:top w:w="100" w:type="dxa"/>
              <w:left w:w="120" w:type="dxa"/>
              <w:bottom w:w="100" w:type="dxa"/>
              <w:right w:w="120" w:type="dxa"/>
            </w:tcMar>
          </w:tcPr>
          <w:p w14:paraId="61CC240A" w14:textId="77777777" w:rsidR="00A72F9D" w:rsidRDefault="00000000">
            <w:r>
              <w:rPr>
                <w:b/>
                <w:bCs/>
                <w:color w:val="FFFFFF"/>
                <w:sz w:val="18"/>
                <w:szCs w:val="18"/>
              </w:rPr>
              <w:t>REVENUE CONSEQUENCE</w:t>
            </w:r>
          </w:p>
        </w:tc>
      </w:tr>
      <w:tr w:rsidR="00A72F9D" w14:paraId="0DD89325" w14:textId="77777777">
        <w:tblPrEx>
          <w:tblCellMar>
            <w:top w:w="0" w:type="dxa"/>
            <w:bottom w:w="0" w:type="dxa"/>
          </w:tblCellMar>
        </w:tblPrEx>
        <w:tc>
          <w:tcPr>
            <w:tcW w:w="600" w:type="dxa"/>
            <w:tcBorders>
              <w:top w:val="single" w:sz="1" w:space="0" w:color="E5E5E5"/>
              <w:left w:val="single" w:sz="1" w:space="0" w:color="E5E5E5"/>
              <w:bottom w:val="single" w:sz="1" w:space="0" w:color="E5E5E5"/>
              <w:right w:val="single" w:sz="1" w:space="0" w:color="E5E5E5"/>
            </w:tcBorders>
            <w:shd w:val="clear" w:color="auto" w:fill="E8251A"/>
            <w:tcMar>
              <w:top w:w="120" w:type="dxa"/>
              <w:left w:w="180" w:type="dxa"/>
              <w:bottom w:w="120" w:type="dxa"/>
              <w:right w:w="180" w:type="dxa"/>
            </w:tcMar>
            <w:vAlign w:val="center"/>
          </w:tcPr>
          <w:p w14:paraId="70D9D96A" w14:textId="77777777" w:rsidR="00A72F9D" w:rsidRDefault="00000000">
            <w:pPr>
              <w:jc w:val="center"/>
            </w:pPr>
            <w:r>
              <w:rPr>
                <w:b/>
                <w:bCs/>
                <w:color w:val="FFFFFF"/>
              </w:rPr>
              <w:t>#1</w:t>
            </w:r>
          </w:p>
        </w:tc>
        <w:tc>
          <w:tcPr>
            <w:tcW w:w="1800" w:type="dxa"/>
            <w:tcBorders>
              <w:top w:val="single" w:sz="1" w:space="0" w:color="E5E5E5"/>
              <w:left w:val="single" w:sz="1" w:space="0" w:color="E5E5E5"/>
              <w:bottom w:val="single" w:sz="1" w:space="0" w:color="E5E5E5"/>
              <w:right w:val="single" w:sz="1" w:space="0" w:color="E5E5E5"/>
            </w:tcBorders>
            <w:shd w:val="clear" w:color="auto" w:fill="F5F5F5"/>
            <w:tcMar>
              <w:top w:w="120" w:type="dxa"/>
              <w:left w:w="180" w:type="dxa"/>
              <w:bottom w:w="120" w:type="dxa"/>
              <w:right w:w="180" w:type="dxa"/>
            </w:tcMar>
            <w:vAlign w:val="center"/>
          </w:tcPr>
          <w:p w14:paraId="7076A2BA" w14:textId="77777777" w:rsidR="00A72F9D" w:rsidRDefault="00000000">
            <w:r>
              <w:rPr>
                <w:b/>
                <w:bCs/>
                <w:color w:val="1A1A1A"/>
                <w:sz w:val="20"/>
                <w:szCs w:val="20"/>
              </w:rPr>
              <w:t>Individual Usage</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124DB714" w14:textId="77777777" w:rsidR="00A72F9D" w:rsidRDefault="00000000">
            <w:r>
              <w:rPr>
                <w:sz w:val="20"/>
                <w:szCs w:val="20"/>
              </w:rPr>
              <w:t>High individual value, zero monetization signal. Users extract maximum value with zero conversion pressure.</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4A753755" w14:textId="77777777" w:rsidR="00A72F9D" w:rsidRDefault="00000000">
            <w:r>
              <w:rPr>
                <w:b/>
                <w:bCs/>
                <w:color w:val="B01E15"/>
                <w:sz w:val="20"/>
                <w:szCs w:val="20"/>
              </w:rPr>
              <w:t>Revenue is funded entirely through goodwill — no event triggers willingness to pay.</w:t>
            </w:r>
          </w:p>
        </w:tc>
      </w:tr>
      <w:tr w:rsidR="00A72F9D" w14:paraId="5C84F392" w14:textId="77777777">
        <w:tblPrEx>
          <w:tblCellMar>
            <w:top w:w="0" w:type="dxa"/>
            <w:bottom w:w="0" w:type="dxa"/>
          </w:tblCellMar>
        </w:tblPrEx>
        <w:tc>
          <w:tcPr>
            <w:tcW w:w="600" w:type="dxa"/>
            <w:tcBorders>
              <w:top w:val="single" w:sz="1" w:space="0" w:color="E5E5E5"/>
              <w:left w:val="single" w:sz="1" w:space="0" w:color="E5E5E5"/>
              <w:bottom w:val="single" w:sz="1" w:space="0" w:color="E5E5E5"/>
              <w:right w:val="single" w:sz="1" w:space="0" w:color="E5E5E5"/>
            </w:tcBorders>
            <w:shd w:val="clear" w:color="auto" w:fill="E8251A"/>
            <w:tcMar>
              <w:top w:w="120" w:type="dxa"/>
              <w:left w:w="180" w:type="dxa"/>
              <w:bottom w:w="120" w:type="dxa"/>
              <w:right w:w="180" w:type="dxa"/>
            </w:tcMar>
            <w:vAlign w:val="center"/>
          </w:tcPr>
          <w:p w14:paraId="4891AF0F" w14:textId="77777777" w:rsidR="00A72F9D" w:rsidRDefault="00000000">
            <w:pPr>
              <w:jc w:val="center"/>
            </w:pPr>
            <w:r>
              <w:rPr>
                <w:b/>
                <w:bCs/>
                <w:color w:val="FFFFFF"/>
              </w:rPr>
              <w:t>#2</w:t>
            </w:r>
          </w:p>
        </w:tc>
        <w:tc>
          <w:tcPr>
            <w:tcW w:w="1800" w:type="dxa"/>
            <w:tcBorders>
              <w:top w:val="single" w:sz="1" w:space="0" w:color="E5E5E5"/>
              <w:left w:val="single" w:sz="1" w:space="0" w:color="E5E5E5"/>
              <w:bottom w:val="single" w:sz="1" w:space="0" w:color="E5E5E5"/>
              <w:right w:val="single" w:sz="1" w:space="0" w:color="E5E5E5"/>
            </w:tcBorders>
            <w:shd w:val="clear" w:color="auto" w:fill="F5F5F5"/>
            <w:tcMar>
              <w:top w:w="120" w:type="dxa"/>
              <w:left w:w="180" w:type="dxa"/>
              <w:bottom w:w="120" w:type="dxa"/>
              <w:right w:w="180" w:type="dxa"/>
            </w:tcMar>
            <w:vAlign w:val="center"/>
          </w:tcPr>
          <w:p w14:paraId="17F5AA45" w14:textId="77777777" w:rsidR="00A72F9D" w:rsidRDefault="00000000">
            <w:r>
              <w:rPr>
                <w:b/>
                <w:bCs/>
                <w:color w:val="1A1A1A"/>
                <w:sz w:val="20"/>
                <w:szCs w:val="20"/>
              </w:rPr>
              <w:t>Team Formation</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4691C80C" w14:textId="77777777" w:rsidR="00A72F9D" w:rsidRDefault="00000000">
            <w:r>
              <w:rPr>
                <w:sz w:val="20"/>
                <w:szCs w:val="20"/>
              </w:rPr>
              <w:t>Guest model enables collaboration at scale — across teams and companies — without triggering seat-based revenue.</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61B449ED" w14:textId="77777777" w:rsidR="00A72F9D" w:rsidRDefault="00000000">
            <w:r>
              <w:rPr>
                <w:b/>
                <w:bCs/>
                <w:color w:val="B01E15"/>
                <w:sz w:val="20"/>
                <w:szCs w:val="20"/>
              </w:rPr>
              <w:t>Team growth multiplies value delivered while revenue stays flat.</w:t>
            </w:r>
          </w:p>
        </w:tc>
      </w:tr>
      <w:tr w:rsidR="00A72F9D" w14:paraId="011EBC51" w14:textId="77777777">
        <w:tblPrEx>
          <w:tblCellMar>
            <w:top w:w="0" w:type="dxa"/>
            <w:bottom w:w="0" w:type="dxa"/>
          </w:tblCellMar>
        </w:tblPrEx>
        <w:tc>
          <w:tcPr>
            <w:tcW w:w="600" w:type="dxa"/>
            <w:tcBorders>
              <w:top w:val="single" w:sz="1" w:space="0" w:color="E5E5E5"/>
              <w:left w:val="single" w:sz="1" w:space="0" w:color="E5E5E5"/>
              <w:bottom w:val="single" w:sz="1" w:space="0" w:color="E5E5E5"/>
              <w:right w:val="single" w:sz="1" w:space="0" w:color="E5E5E5"/>
            </w:tcBorders>
            <w:shd w:val="clear" w:color="auto" w:fill="E8251A"/>
            <w:tcMar>
              <w:top w:w="120" w:type="dxa"/>
              <w:left w:w="180" w:type="dxa"/>
              <w:bottom w:w="120" w:type="dxa"/>
              <w:right w:w="180" w:type="dxa"/>
            </w:tcMar>
            <w:vAlign w:val="center"/>
          </w:tcPr>
          <w:p w14:paraId="73810625" w14:textId="77777777" w:rsidR="00A72F9D" w:rsidRDefault="00000000">
            <w:pPr>
              <w:jc w:val="center"/>
            </w:pPr>
            <w:r>
              <w:rPr>
                <w:b/>
                <w:bCs/>
                <w:color w:val="FFFFFF"/>
              </w:rPr>
              <w:lastRenderedPageBreak/>
              <w:t>#3</w:t>
            </w:r>
          </w:p>
        </w:tc>
        <w:tc>
          <w:tcPr>
            <w:tcW w:w="1800" w:type="dxa"/>
            <w:tcBorders>
              <w:top w:val="single" w:sz="1" w:space="0" w:color="E5E5E5"/>
              <w:left w:val="single" w:sz="1" w:space="0" w:color="E5E5E5"/>
              <w:bottom w:val="single" w:sz="1" w:space="0" w:color="E5E5E5"/>
              <w:right w:val="single" w:sz="1" w:space="0" w:color="E5E5E5"/>
            </w:tcBorders>
            <w:shd w:val="clear" w:color="auto" w:fill="F5F5F5"/>
            <w:tcMar>
              <w:top w:w="120" w:type="dxa"/>
              <w:left w:w="180" w:type="dxa"/>
              <w:bottom w:w="120" w:type="dxa"/>
              <w:right w:w="180" w:type="dxa"/>
            </w:tcMar>
            <w:vAlign w:val="center"/>
          </w:tcPr>
          <w:p w14:paraId="37D5BF0A" w14:textId="77777777" w:rsidR="00A72F9D" w:rsidRDefault="00000000">
            <w:r>
              <w:rPr>
                <w:b/>
                <w:bCs/>
                <w:color w:val="1A1A1A"/>
                <w:sz w:val="20"/>
                <w:szCs w:val="20"/>
              </w:rPr>
              <w:t>Critical Usage</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1E0EB761" w14:textId="77777777" w:rsidR="00A72F9D" w:rsidRDefault="00000000">
            <w:r>
              <w:rPr>
                <w:sz w:val="20"/>
                <w:szCs w:val="20"/>
              </w:rPr>
              <w:t>Dependency is established. Teams rely on Notion daily. Upgrade trigger remains constraint-based, not value-based.</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359DC86D" w14:textId="77777777" w:rsidR="00A72F9D" w:rsidRDefault="00000000">
            <w:r>
              <w:rPr>
                <w:b/>
                <w:bCs/>
                <w:color w:val="B01E15"/>
                <w:sz w:val="20"/>
                <w:szCs w:val="20"/>
              </w:rPr>
              <w:t>The moment of maximum willingness to pay is bypassed entirely.</w:t>
            </w:r>
          </w:p>
        </w:tc>
      </w:tr>
      <w:tr w:rsidR="00A72F9D" w14:paraId="29DEF9B7" w14:textId="77777777">
        <w:tblPrEx>
          <w:tblCellMar>
            <w:top w:w="0" w:type="dxa"/>
            <w:bottom w:w="0" w:type="dxa"/>
          </w:tblCellMar>
        </w:tblPrEx>
        <w:tc>
          <w:tcPr>
            <w:tcW w:w="600" w:type="dxa"/>
            <w:tcBorders>
              <w:top w:val="single" w:sz="1" w:space="0" w:color="E5E5E5"/>
              <w:left w:val="single" w:sz="1" w:space="0" w:color="E5E5E5"/>
              <w:bottom w:val="single" w:sz="1" w:space="0" w:color="E5E5E5"/>
              <w:right w:val="single" w:sz="1" w:space="0" w:color="E5E5E5"/>
            </w:tcBorders>
            <w:shd w:val="clear" w:color="auto" w:fill="E8251A"/>
            <w:tcMar>
              <w:top w:w="120" w:type="dxa"/>
              <w:left w:w="180" w:type="dxa"/>
              <w:bottom w:w="120" w:type="dxa"/>
              <w:right w:w="180" w:type="dxa"/>
            </w:tcMar>
            <w:vAlign w:val="center"/>
          </w:tcPr>
          <w:p w14:paraId="132B242E" w14:textId="77777777" w:rsidR="00A72F9D" w:rsidRDefault="00000000">
            <w:pPr>
              <w:jc w:val="center"/>
            </w:pPr>
            <w:r>
              <w:rPr>
                <w:b/>
                <w:bCs/>
                <w:color w:val="FFFFFF"/>
              </w:rPr>
              <w:t>#4</w:t>
            </w:r>
          </w:p>
        </w:tc>
        <w:tc>
          <w:tcPr>
            <w:tcW w:w="1800" w:type="dxa"/>
            <w:tcBorders>
              <w:top w:val="single" w:sz="1" w:space="0" w:color="E5E5E5"/>
              <w:left w:val="single" w:sz="1" w:space="0" w:color="E5E5E5"/>
              <w:bottom w:val="single" w:sz="1" w:space="0" w:color="E5E5E5"/>
              <w:right w:val="single" w:sz="1" w:space="0" w:color="E5E5E5"/>
            </w:tcBorders>
            <w:shd w:val="clear" w:color="auto" w:fill="F5F5F5"/>
            <w:tcMar>
              <w:top w:w="120" w:type="dxa"/>
              <w:left w:w="180" w:type="dxa"/>
              <w:bottom w:w="120" w:type="dxa"/>
              <w:right w:w="180" w:type="dxa"/>
            </w:tcMar>
            <w:vAlign w:val="center"/>
          </w:tcPr>
          <w:p w14:paraId="7917A764" w14:textId="77777777" w:rsidR="00A72F9D" w:rsidRDefault="00000000">
            <w:r>
              <w:rPr>
                <w:b/>
                <w:bCs/>
                <w:color w:val="1A1A1A"/>
                <w:sz w:val="20"/>
                <w:szCs w:val="20"/>
              </w:rPr>
              <w:t>Upgrade Decision</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1B7D92E4" w14:textId="77777777" w:rsidR="00A72F9D" w:rsidRDefault="00000000">
            <w:r>
              <w:rPr>
                <w:sz w:val="20"/>
                <w:szCs w:val="20"/>
              </w:rPr>
              <w:t>The upgrade moment is framed as 'pay to remove restrictions' — generating resistance, resentment, and delay.</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3B78F1BF" w14:textId="77777777" w:rsidR="00A72F9D" w:rsidRDefault="00000000">
            <w:r>
              <w:rPr>
                <w:b/>
                <w:bCs/>
                <w:color w:val="B01E15"/>
                <w:sz w:val="20"/>
                <w:szCs w:val="20"/>
              </w:rPr>
              <w:t>Conversion rates suffer. Churn risk spikes. Revenue becomes spiky and unpredictable.</w:t>
            </w:r>
          </w:p>
        </w:tc>
      </w:tr>
      <w:tr w:rsidR="00A72F9D" w14:paraId="241DAB54" w14:textId="77777777">
        <w:tblPrEx>
          <w:tblCellMar>
            <w:top w:w="0" w:type="dxa"/>
            <w:bottom w:w="0" w:type="dxa"/>
          </w:tblCellMar>
        </w:tblPrEx>
        <w:tc>
          <w:tcPr>
            <w:tcW w:w="600" w:type="dxa"/>
            <w:tcBorders>
              <w:top w:val="single" w:sz="1" w:space="0" w:color="E5E5E5"/>
              <w:left w:val="single" w:sz="1" w:space="0" w:color="E5E5E5"/>
              <w:bottom w:val="single" w:sz="1" w:space="0" w:color="E5E5E5"/>
              <w:right w:val="single" w:sz="1" w:space="0" w:color="E5E5E5"/>
            </w:tcBorders>
            <w:shd w:val="clear" w:color="auto" w:fill="E8251A"/>
            <w:tcMar>
              <w:top w:w="120" w:type="dxa"/>
              <w:left w:w="180" w:type="dxa"/>
              <w:bottom w:w="120" w:type="dxa"/>
              <w:right w:w="180" w:type="dxa"/>
            </w:tcMar>
            <w:vAlign w:val="center"/>
          </w:tcPr>
          <w:p w14:paraId="6A1EA656" w14:textId="77777777" w:rsidR="00A72F9D" w:rsidRDefault="00000000">
            <w:pPr>
              <w:jc w:val="center"/>
            </w:pPr>
            <w:r>
              <w:rPr>
                <w:b/>
                <w:bCs/>
                <w:color w:val="FFFFFF"/>
              </w:rPr>
              <w:t>#5</w:t>
            </w:r>
          </w:p>
        </w:tc>
        <w:tc>
          <w:tcPr>
            <w:tcW w:w="1800" w:type="dxa"/>
            <w:tcBorders>
              <w:top w:val="single" w:sz="1" w:space="0" w:color="E5E5E5"/>
              <w:left w:val="single" w:sz="1" w:space="0" w:color="E5E5E5"/>
              <w:bottom w:val="single" w:sz="1" w:space="0" w:color="E5E5E5"/>
              <w:right w:val="single" w:sz="1" w:space="0" w:color="E5E5E5"/>
            </w:tcBorders>
            <w:shd w:val="clear" w:color="auto" w:fill="F5F5F5"/>
            <w:tcMar>
              <w:top w:w="120" w:type="dxa"/>
              <w:left w:w="180" w:type="dxa"/>
              <w:bottom w:w="120" w:type="dxa"/>
              <w:right w:w="180" w:type="dxa"/>
            </w:tcMar>
            <w:vAlign w:val="center"/>
          </w:tcPr>
          <w:p w14:paraId="34E02EAC" w14:textId="77777777" w:rsidR="00A72F9D" w:rsidRDefault="00000000">
            <w:r>
              <w:rPr>
                <w:b/>
                <w:bCs/>
                <w:color w:val="1A1A1A"/>
                <w:sz w:val="20"/>
                <w:szCs w:val="20"/>
              </w:rPr>
              <w:t>Enterprise Expansion</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176B58E0" w14:textId="77777777" w:rsidR="00A72F9D" w:rsidRDefault="00000000">
            <w:r>
              <w:rPr>
                <w:sz w:val="20"/>
                <w:szCs w:val="20"/>
              </w:rPr>
              <w:t>Sales-led, friction-heavy, late. High-value organizations wait months in the wrong tier.</w:t>
            </w:r>
          </w:p>
        </w:tc>
        <w:tc>
          <w:tcPr>
            <w:tcW w:w="3480" w:type="dxa"/>
            <w:tcBorders>
              <w:top w:val="single" w:sz="1" w:space="0" w:color="E5E5E5"/>
              <w:left w:val="single" w:sz="1" w:space="0" w:color="E5E5E5"/>
              <w:bottom w:val="single" w:sz="1" w:space="0" w:color="E5E5E5"/>
              <w:right w:val="single" w:sz="1" w:space="0" w:color="E5E5E5"/>
            </w:tcBorders>
            <w:shd w:val="clear" w:color="auto" w:fill="FFFFFF"/>
            <w:tcMar>
              <w:top w:w="120" w:type="dxa"/>
              <w:left w:w="180" w:type="dxa"/>
              <w:bottom w:w="120" w:type="dxa"/>
              <w:right w:w="180" w:type="dxa"/>
            </w:tcMar>
          </w:tcPr>
          <w:p w14:paraId="0C3D3B6E" w14:textId="77777777" w:rsidR="00A72F9D" w:rsidRDefault="00000000">
            <w:r>
              <w:rPr>
                <w:b/>
                <w:bCs/>
                <w:color w:val="B01E15"/>
                <w:sz w:val="20"/>
                <w:szCs w:val="20"/>
              </w:rPr>
              <w:t>Enterprise revenue delayed by 3–6+ months per account. NRR is permanently suppressed.</w:t>
            </w:r>
          </w:p>
        </w:tc>
      </w:tr>
    </w:tbl>
    <w:p w14:paraId="21426A1E" w14:textId="77777777" w:rsidR="00A72F9D" w:rsidRDefault="00A72F9D">
      <w:pPr>
        <w:spacing w:before="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0" w:type="dxa"/>
          <w:left w:w="10" w:type="dxa"/>
          <w:bottom w:w="200" w:type="dxa"/>
          <w:right w:w="10" w:type="dxa"/>
        </w:tblCellMar>
        <w:tblLook w:val="04A0" w:firstRow="1" w:lastRow="0" w:firstColumn="1" w:lastColumn="0" w:noHBand="0" w:noVBand="1"/>
      </w:tblPr>
      <w:tblGrid>
        <w:gridCol w:w="9360"/>
      </w:tblGrid>
      <w:tr w:rsidR="00A72F9D" w14:paraId="3C1EB6AA" w14:textId="77777777">
        <w:tc>
          <w:tcPr>
            <w:tcW w:w="9360" w:type="dxa"/>
            <w:tcBorders>
              <w:left w:val="single" w:sz="20" w:space="0" w:color="E8251A"/>
            </w:tcBorders>
            <w:shd w:val="clear" w:color="auto" w:fill="F5F5F5"/>
            <w:tcMar>
              <w:top w:w="200" w:type="dxa"/>
              <w:left w:w="360" w:type="dxa"/>
              <w:bottom w:w="200" w:type="dxa"/>
              <w:right w:w="240" w:type="dxa"/>
            </w:tcMar>
          </w:tcPr>
          <w:p w14:paraId="0BEDC802" w14:textId="77777777" w:rsidR="00A72F9D" w:rsidRDefault="00000000">
            <w:r>
              <w:rPr>
                <w:b/>
                <w:bCs/>
                <w:i/>
                <w:iCs/>
                <w:color w:val="1A1A1A"/>
                <w:sz w:val="26"/>
                <w:szCs w:val="26"/>
              </w:rPr>
              <w:t>The problem is not growth — it is misaligned monetization timing.</w:t>
            </w:r>
          </w:p>
        </w:tc>
      </w:tr>
    </w:tbl>
    <w:p w14:paraId="01526B9B" w14:textId="77777777" w:rsidR="00A72F9D" w:rsidRDefault="00A72F9D">
      <w:pPr>
        <w:spacing w:before="240"/>
      </w:pPr>
    </w:p>
    <w:p w14:paraId="51F6D699" w14:textId="77777777" w:rsidR="00A72F9D" w:rsidRDefault="00000000">
      <w:r>
        <w:br w:type="page"/>
      </w:r>
    </w:p>
    <w:p w14:paraId="05939BC1" w14:textId="77777777" w:rsidR="00A72F9D" w:rsidRDefault="00000000">
      <w:pPr>
        <w:spacing w:before="360" w:after="80"/>
      </w:pPr>
      <w:r>
        <w:rPr>
          <w:b/>
          <w:bCs/>
          <w:color w:val="E8251A"/>
          <w:spacing w:val="120"/>
          <w:sz w:val="16"/>
          <w:szCs w:val="16"/>
        </w:rPr>
        <w:lastRenderedPageBreak/>
        <w:t>04 / SYSTEM MISALIGNMENT</w:t>
      </w:r>
    </w:p>
    <w:p w14:paraId="0ACAF6D6" w14:textId="77777777" w:rsidR="00A72F9D" w:rsidRDefault="00000000">
      <w:pPr>
        <w:spacing w:before="60" w:after="200"/>
      </w:pPr>
      <w:r>
        <w:rPr>
          <w:b/>
          <w:bCs/>
          <w:color w:val="0A0A0A"/>
          <w:sz w:val="48"/>
          <w:szCs w:val="48"/>
        </w:rPr>
        <w:t>Current Funnel vs. What It Should Look Like</w:t>
      </w:r>
    </w:p>
    <w:p w14:paraId="276C1A4E" w14:textId="77777777" w:rsidR="00A72F9D" w:rsidRDefault="00000000">
      <w:pPr>
        <w:spacing w:before="80" w:after="80"/>
      </w:pPr>
      <w:r>
        <w:t>The current funnel is not broken at the top. Discovery, sign-up, and activation work. The break is in the middle — where team value compounds but the system has no mechanism to translate that value into a revenue event.</w:t>
      </w:r>
    </w:p>
    <w:p w14:paraId="7939DC67" w14:textId="77777777" w:rsidR="00A72F9D" w:rsidRDefault="00A72F9D">
      <w:pPr>
        <w:spacing w:before="80"/>
      </w:pPr>
    </w:p>
    <w:p w14:paraId="3BC952DB" w14:textId="77777777" w:rsidR="00A72F9D" w:rsidRDefault="00000000">
      <w:pPr>
        <w:spacing w:before="80" w:after="80"/>
      </w:pPr>
      <w:r>
        <w:t>The improved model inserts two critical layers: a value recognition layer that detects usage signals before constraint walls are hit, and structured upgrade paths aligned to team growth stage. The result is a revenue architecture that scales with dependency — not against it.</w:t>
      </w:r>
    </w:p>
    <w:p w14:paraId="357C63B7" w14:textId="77777777" w:rsidR="00A72F9D" w:rsidRDefault="00A72F9D">
      <w:pPr>
        <w:spacing w:before="160"/>
      </w:pPr>
    </w:p>
    <w:p w14:paraId="000A3A40" w14:textId="77777777" w:rsidR="00A72F9D" w:rsidRDefault="00000000">
      <w:pPr>
        <w:spacing w:after="80"/>
      </w:pPr>
      <w:r>
        <w:rPr>
          <w:b/>
          <w:bCs/>
          <w:color w:val="6B6B6B"/>
          <w:spacing w:val="100"/>
          <w:sz w:val="20"/>
          <w:szCs w:val="20"/>
        </w:rPr>
        <w:t>FIGURE 03  ·  REVENUE FUNNEL: CURRENT VS. IMPROVED</w:t>
      </w:r>
    </w:p>
    <w:p w14:paraId="394982DB" w14:textId="6D2DC917" w:rsidR="00A72F9D" w:rsidRDefault="002C3358" w:rsidP="002C3358">
      <w:pPr>
        <w:spacing w:before="240" w:after="240"/>
      </w:pPr>
      <w:r>
        <w:rPr>
          <w:noProof/>
        </w:rPr>
        <w:drawing>
          <wp:inline distT="0" distB="0" distL="0" distR="0" wp14:anchorId="108870E4" wp14:editId="74BFE433">
            <wp:extent cx="6400800" cy="3602355"/>
            <wp:effectExtent l="0" t="0" r="0" b="0"/>
            <wp:docPr id="2085016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16146" name="Picture 20850161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602355"/>
                    </a:xfrm>
                    <a:prstGeom prst="rect">
                      <a:avLst/>
                    </a:prstGeom>
                  </pic:spPr>
                </pic:pic>
              </a:graphicData>
            </a:graphic>
          </wp:inline>
        </w:drawing>
      </w:r>
    </w:p>
    <w:p w14:paraId="78010CA8" w14:textId="78CCFD69" w:rsidR="002C3358" w:rsidRDefault="002C3358">
      <w:pPr>
        <w:spacing w:before="240"/>
      </w:pPr>
      <w:r>
        <w:rPr>
          <w:color w:val="6B6B6B"/>
          <w:sz w:val="20"/>
          <w:szCs w:val="20"/>
        </w:rPr>
        <w:t xml:space="preserve">Current state: monetization fires at </w:t>
      </w:r>
      <w:r w:rsidR="00E20DAF">
        <w:rPr>
          <w:color w:val="6B6B6B"/>
          <w:sz w:val="20"/>
          <w:szCs w:val="20"/>
        </w:rPr>
        <w:t>constraints.</w:t>
      </w:r>
      <w:r>
        <w:rPr>
          <w:color w:val="6B6B6B"/>
          <w:sz w:val="20"/>
          <w:szCs w:val="20"/>
        </w:rPr>
        <w:t xml:space="preserve"> Improved state: monetization fires at value realization.</w:t>
      </w:r>
    </w:p>
    <w:p w14:paraId="542DE3D3" w14:textId="77777777" w:rsidR="00A72F9D" w:rsidRDefault="00000000">
      <w:r>
        <w:br w:type="page"/>
      </w:r>
    </w:p>
    <w:p w14:paraId="7F89EE70" w14:textId="77777777" w:rsidR="00A72F9D" w:rsidRDefault="00000000">
      <w:pPr>
        <w:spacing w:before="360" w:after="80"/>
      </w:pPr>
      <w:r>
        <w:rPr>
          <w:b/>
          <w:bCs/>
          <w:color w:val="E8251A"/>
          <w:spacing w:val="120"/>
          <w:sz w:val="16"/>
          <w:szCs w:val="16"/>
        </w:rPr>
        <w:lastRenderedPageBreak/>
        <w:t>04B / BEHAVIORAL INSIGHT LAYER</w:t>
      </w:r>
    </w:p>
    <w:p w14:paraId="698D4841" w14:textId="022B9D48" w:rsidR="00A72F9D" w:rsidRDefault="002C3358">
      <w:pPr>
        <w:spacing w:before="60" w:after="200"/>
      </w:pPr>
      <w:r>
        <w:rPr>
          <w:b/>
          <w:bCs/>
          <w:color w:val="0A0A0A"/>
          <w:sz w:val="48"/>
          <w:szCs w:val="48"/>
        </w:rPr>
        <w:t>Behavioural</w:t>
      </w:r>
      <w:r w:rsidR="00000000">
        <w:rPr>
          <w:b/>
          <w:bCs/>
          <w:color w:val="0A0A0A"/>
          <w:sz w:val="48"/>
          <w:szCs w:val="48"/>
        </w:rPr>
        <w:t xml:space="preserve"> Misalignment: Why Users Resist Paying</w:t>
      </w:r>
    </w:p>
    <w:p w14:paraId="6C19D255" w14:textId="77777777" w:rsidR="00A72F9D" w:rsidRDefault="00000000">
      <w:pPr>
        <w:spacing w:before="80" w:after="80"/>
      </w:pPr>
      <w:r>
        <w:t>Before any structural fix lands, this must be understood: the resistance is not to payment. It is to payment at the wrong moment, framed in the wrong way.</w:t>
      </w:r>
    </w:p>
    <w:p w14:paraId="35A6F639" w14:textId="77777777" w:rsidR="00A72F9D" w:rsidRDefault="00A72F9D">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A72F9D" w14:paraId="33446237" w14:textId="77777777">
        <w:tblPrEx>
          <w:tblCellMar>
            <w:top w:w="0" w:type="dxa"/>
            <w:bottom w:w="0" w:type="dxa"/>
          </w:tblCellMar>
        </w:tblPrEx>
        <w:tc>
          <w:tcPr>
            <w:tcW w:w="4680" w:type="dxa"/>
            <w:tcBorders>
              <w:right w:val="single" w:sz="2" w:space="0" w:color="E5E5E5"/>
            </w:tcBorders>
            <w:shd w:val="clear" w:color="auto" w:fill="FDF0EF"/>
            <w:tcMar>
              <w:top w:w="280" w:type="dxa"/>
              <w:left w:w="320" w:type="dxa"/>
              <w:bottom w:w="280" w:type="dxa"/>
              <w:right w:w="320" w:type="dxa"/>
            </w:tcMar>
          </w:tcPr>
          <w:p w14:paraId="6140BF8C" w14:textId="77777777" w:rsidR="00A72F9D" w:rsidRDefault="00000000">
            <w:pPr>
              <w:spacing w:after="100"/>
            </w:pPr>
            <w:r>
              <w:rPr>
                <w:b/>
                <w:bCs/>
                <w:color w:val="E8251A"/>
                <w:spacing w:val="80"/>
                <w:sz w:val="18"/>
                <w:szCs w:val="18"/>
              </w:rPr>
              <w:t>CURRENT SYSTEM</w:t>
            </w:r>
          </w:p>
          <w:p w14:paraId="0C014BB5" w14:textId="77777777" w:rsidR="00A72F9D" w:rsidRDefault="00000000">
            <w:pPr>
              <w:spacing w:after="80"/>
            </w:pPr>
            <w:r>
              <w:rPr>
                <w:b/>
                <w:bCs/>
                <w:color w:val="1A1A1A"/>
              </w:rPr>
              <w:t>Pain-Driven Upgrades</w:t>
            </w:r>
          </w:p>
          <w:p w14:paraId="28C21D2C" w14:textId="77777777" w:rsidR="00A72F9D" w:rsidRDefault="00000000">
            <w:r>
              <w:rPr>
                <w:sz w:val="20"/>
                <w:szCs w:val="20"/>
              </w:rPr>
              <w:t>Constraint hits → user feels frustrated → upgrade is presented as the exit from pain → decision is made under duress.</w:t>
            </w:r>
          </w:p>
          <w:p w14:paraId="39E5E039" w14:textId="77777777" w:rsidR="00A72F9D" w:rsidRDefault="00A72F9D">
            <w:pPr>
              <w:spacing w:before="80"/>
            </w:pPr>
          </w:p>
          <w:p w14:paraId="42D7D03C" w14:textId="77777777" w:rsidR="00A72F9D" w:rsidRDefault="00000000">
            <w:r>
              <w:rPr>
                <w:b/>
                <w:bCs/>
                <w:color w:val="B01E15"/>
                <w:sz w:val="20"/>
                <w:szCs w:val="20"/>
              </w:rPr>
              <w:t>Result: resistance, resentment, delay, churn.</w:t>
            </w:r>
          </w:p>
        </w:tc>
        <w:tc>
          <w:tcPr>
            <w:tcW w:w="4680" w:type="dxa"/>
            <w:shd w:val="clear" w:color="auto" w:fill="1A1A1A"/>
            <w:tcMar>
              <w:top w:w="280" w:type="dxa"/>
              <w:left w:w="320" w:type="dxa"/>
              <w:bottom w:w="280" w:type="dxa"/>
              <w:right w:w="320" w:type="dxa"/>
            </w:tcMar>
          </w:tcPr>
          <w:p w14:paraId="6C5C6C5B" w14:textId="77777777" w:rsidR="00A72F9D" w:rsidRDefault="00000000">
            <w:pPr>
              <w:spacing w:after="100"/>
            </w:pPr>
            <w:r>
              <w:rPr>
                <w:b/>
                <w:bCs/>
                <w:color w:val="E8251A"/>
                <w:spacing w:val="80"/>
                <w:sz w:val="18"/>
                <w:szCs w:val="18"/>
              </w:rPr>
              <w:t>REQUIRED SYSTEM</w:t>
            </w:r>
          </w:p>
          <w:p w14:paraId="30B5C1BE" w14:textId="77777777" w:rsidR="00A72F9D" w:rsidRDefault="00000000">
            <w:pPr>
              <w:spacing w:after="80"/>
            </w:pPr>
            <w:r>
              <w:rPr>
                <w:b/>
                <w:bCs/>
                <w:color w:val="FFFFFF"/>
              </w:rPr>
              <w:t>Value-Driven Upgrades</w:t>
            </w:r>
          </w:p>
          <w:p w14:paraId="47D6520A" w14:textId="77777777" w:rsidR="00A72F9D" w:rsidRDefault="00000000">
            <w:r>
              <w:rPr>
                <w:color w:val="E5E5E5"/>
                <w:sz w:val="20"/>
                <w:szCs w:val="20"/>
              </w:rPr>
              <w:t>Progress milestone reached → system surfaces upgrade as recognition of what's already working → decision is made from confidence, not pressure.</w:t>
            </w:r>
          </w:p>
          <w:p w14:paraId="0416366F" w14:textId="77777777" w:rsidR="00A72F9D" w:rsidRDefault="00A72F9D">
            <w:pPr>
              <w:spacing w:before="80"/>
            </w:pPr>
          </w:p>
          <w:p w14:paraId="6332E9E8" w14:textId="77777777" w:rsidR="00A72F9D" w:rsidRDefault="00000000">
            <w:r>
              <w:rPr>
                <w:b/>
                <w:bCs/>
                <w:color w:val="E8251A"/>
                <w:sz w:val="20"/>
                <w:szCs w:val="20"/>
              </w:rPr>
              <w:t>Result: willingness, trust, expansion.</w:t>
            </w:r>
          </w:p>
        </w:tc>
      </w:tr>
    </w:tbl>
    <w:p w14:paraId="6178B843" w14:textId="77777777" w:rsidR="00A72F9D" w:rsidRDefault="00A72F9D">
      <w:pPr>
        <w:spacing w:before="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0" w:type="dxa"/>
          <w:left w:w="10" w:type="dxa"/>
          <w:bottom w:w="200" w:type="dxa"/>
          <w:right w:w="10" w:type="dxa"/>
        </w:tblCellMar>
        <w:tblLook w:val="04A0" w:firstRow="1" w:lastRow="0" w:firstColumn="1" w:lastColumn="0" w:noHBand="0" w:noVBand="1"/>
      </w:tblPr>
      <w:tblGrid>
        <w:gridCol w:w="9360"/>
      </w:tblGrid>
      <w:tr w:rsidR="00A72F9D" w14:paraId="4A35C75A" w14:textId="77777777">
        <w:tc>
          <w:tcPr>
            <w:tcW w:w="9360" w:type="dxa"/>
            <w:tcBorders>
              <w:left w:val="single" w:sz="20" w:space="0" w:color="E8251A"/>
            </w:tcBorders>
            <w:shd w:val="clear" w:color="auto" w:fill="F5F5F5"/>
            <w:tcMar>
              <w:top w:w="200" w:type="dxa"/>
              <w:left w:w="360" w:type="dxa"/>
              <w:bottom w:w="200" w:type="dxa"/>
              <w:right w:w="240" w:type="dxa"/>
            </w:tcMar>
          </w:tcPr>
          <w:p w14:paraId="6F41CBD6" w14:textId="77777777" w:rsidR="00A72F9D" w:rsidRDefault="00000000">
            <w:r>
              <w:rPr>
                <w:b/>
                <w:bCs/>
                <w:i/>
                <w:iCs/>
                <w:color w:val="1A1A1A"/>
                <w:sz w:val="26"/>
                <w:szCs w:val="26"/>
              </w:rPr>
              <w:t>Users don't resist paying — they resist paying at the wrong moment. The problem is not pricing. It is timing and framing.</w:t>
            </w:r>
          </w:p>
        </w:tc>
      </w:tr>
    </w:tbl>
    <w:p w14:paraId="0C2DB638" w14:textId="77777777" w:rsidR="00A72F9D" w:rsidRDefault="00A72F9D">
      <w:pPr>
        <w:spacing w:before="120"/>
      </w:pPr>
    </w:p>
    <w:p w14:paraId="50B432BF" w14:textId="77777777" w:rsidR="00A72F9D" w:rsidRDefault="00000000">
      <w:pPr>
        <w:spacing w:before="80" w:after="80"/>
      </w:pPr>
      <w:r>
        <w:t>This single insight reframes the entire monetization challenge. It moves the solution space from pricing strategy to product architecture — specifically, to the question of when and how upgrade moments are surfaced. The fixes that follow are built on this foundation.</w:t>
      </w:r>
    </w:p>
    <w:p w14:paraId="2C0BB044" w14:textId="77777777" w:rsidR="00A72F9D" w:rsidRDefault="00A72F9D">
      <w:pPr>
        <w:spacing w:before="240"/>
      </w:pPr>
    </w:p>
    <w:p w14:paraId="5775E33D" w14:textId="77777777" w:rsidR="00A72F9D" w:rsidRDefault="00000000">
      <w:r>
        <w:br w:type="page"/>
      </w:r>
    </w:p>
    <w:p w14:paraId="609B8063" w14:textId="77777777" w:rsidR="00A72F9D" w:rsidRDefault="00000000">
      <w:pPr>
        <w:spacing w:before="360" w:after="80"/>
      </w:pPr>
      <w:r>
        <w:rPr>
          <w:b/>
          <w:bCs/>
          <w:color w:val="E8251A"/>
          <w:spacing w:val="120"/>
          <w:sz w:val="16"/>
          <w:szCs w:val="16"/>
        </w:rPr>
        <w:lastRenderedPageBreak/>
        <w:t>05 / STRATEGIC RECOMMENDATIONS</w:t>
      </w:r>
    </w:p>
    <w:p w14:paraId="48993F04" w14:textId="77777777" w:rsidR="00A72F9D" w:rsidRDefault="00000000">
      <w:pPr>
        <w:spacing w:before="60" w:after="200"/>
      </w:pPr>
      <w:r>
        <w:rPr>
          <w:b/>
          <w:bCs/>
          <w:color w:val="0A0A0A"/>
          <w:sz w:val="48"/>
          <w:szCs w:val="48"/>
        </w:rPr>
        <w:t>Five System-Level Fixes</w:t>
      </w:r>
    </w:p>
    <w:p w14:paraId="3A134941" w14:textId="77777777" w:rsidR="00A72F9D" w:rsidRDefault="00000000">
      <w:pPr>
        <w:spacing w:before="80" w:after="80"/>
      </w:pPr>
      <w:r>
        <w:t>These are not feature requests. They are structural changes to how revenue is triggered, timed, and captured. Each fix targets a specific failure mode identified in the diagnostic. Each is implementable as a discrete product decision.</w:t>
      </w:r>
    </w:p>
    <w:p w14:paraId="10EE236D" w14:textId="77777777" w:rsidR="00A72F9D" w:rsidRDefault="00A72F9D">
      <w:pPr>
        <w:spacing w:before="200"/>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8864"/>
      </w:tblGrid>
      <w:tr w:rsidR="00A72F9D" w14:paraId="4E3E710C" w14:textId="77777777" w:rsidTr="00B4489E">
        <w:tblPrEx>
          <w:tblCellMar>
            <w:top w:w="0" w:type="dxa"/>
            <w:bottom w:w="0" w:type="dxa"/>
          </w:tblCellMar>
        </w:tblPrEx>
        <w:tc>
          <w:tcPr>
            <w:tcW w:w="1200" w:type="dxa"/>
            <w:tcBorders>
              <w:top w:val="single" w:sz="1" w:space="0" w:color="E5E5E5"/>
              <w:left w:val="single" w:sz="1" w:space="0" w:color="E5E5E5"/>
              <w:bottom w:val="single" w:sz="1" w:space="0" w:color="E5E5E5"/>
              <w:right w:val="single" w:sz="1" w:space="0" w:color="E5E5E5"/>
            </w:tcBorders>
            <w:shd w:val="clear" w:color="auto" w:fill="1A1A1A"/>
            <w:tcMar>
              <w:top w:w="200" w:type="dxa"/>
              <w:left w:w="200" w:type="dxa"/>
              <w:bottom w:w="200" w:type="dxa"/>
              <w:right w:w="200" w:type="dxa"/>
            </w:tcMar>
            <w:vAlign w:val="center"/>
          </w:tcPr>
          <w:p w14:paraId="1AD1B3CA" w14:textId="77777777" w:rsidR="00A72F9D" w:rsidRDefault="00000000">
            <w:pPr>
              <w:jc w:val="center"/>
            </w:pPr>
            <w:r>
              <w:rPr>
                <w:b/>
                <w:bCs/>
                <w:color w:val="F5C6C3"/>
                <w:sz w:val="64"/>
                <w:szCs w:val="64"/>
              </w:rPr>
              <w:t>01</w:t>
            </w:r>
          </w:p>
        </w:tc>
        <w:tc>
          <w:tcPr>
            <w:tcW w:w="8864" w:type="dxa"/>
            <w:tcBorders>
              <w:top w:val="single" w:sz="1" w:space="0" w:color="E5E5E5"/>
              <w:left w:val="single" w:sz="1" w:space="0" w:color="E5E5E5"/>
              <w:bottom w:val="single" w:sz="1" w:space="0" w:color="E5E5E5"/>
              <w:right w:val="single" w:sz="1" w:space="0" w:color="E5E5E5"/>
            </w:tcBorders>
            <w:shd w:val="clear" w:color="auto" w:fill="FFFFFF"/>
            <w:tcMar>
              <w:top w:w="200" w:type="dxa"/>
              <w:left w:w="280" w:type="dxa"/>
              <w:bottom w:w="200" w:type="dxa"/>
              <w:right w:w="280" w:type="dxa"/>
            </w:tcMar>
          </w:tcPr>
          <w:p w14:paraId="79EAFFC8" w14:textId="77777777" w:rsidR="00A72F9D" w:rsidRDefault="00000000">
            <w:pPr>
              <w:spacing w:after="120"/>
            </w:pPr>
            <w:r>
              <w:rPr>
                <w:b/>
                <w:bCs/>
                <w:color w:val="0A0A0A"/>
                <w:sz w:val="28"/>
                <w:szCs w:val="28"/>
              </w:rPr>
              <w:t>Value Recognition Layer</w:t>
            </w:r>
          </w:p>
          <w:p w14:paraId="47638CB9" w14:textId="77777777" w:rsidR="00A72F9D" w:rsidRDefault="00000000">
            <w:pPr>
              <w:spacing w:before="80" w:after="80"/>
            </w:pPr>
            <w:r>
              <w:rPr>
                <w:b/>
                <w:bCs/>
                <w:color w:val="E8251A"/>
                <w:spacing w:val="60"/>
                <w:sz w:val="18"/>
                <w:szCs w:val="18"/>
              </w:rPr>
              <w:t xml:space="preserve">TRIGGER  </w:t>
            </w:r>
            <w:r>
              <w:t>A user has created 3+ interconnected databases, invited 2+ collaborators, or accessed a page 5+ days in a row within a 30-day window.</w:t>
            </w:r>
          </w:p>
          <w:p w14:paraId="511A72CB" w14:textId="28908D06" w:rsidR="00A72F9D" w:rsidRDefault="00000000">
            <w:pPr>
              <w:spacing w:before="80" w:after="80"/>
            </w:pPr>
            <w:r>
              <w:rPr>
                <w:b/>
                <w:bCs/>
                <w:color w:val="E8251A"/>
                <w:spacing w:val="60"/>
                <w:sz w:val="18"/>
                <w:szCs w:val="18"/>
              </w:rPr>
              <w:t xml:space="preserve">MECHANISM  </w:t>
            </w:r>
            <w:r>
              <w:t xml:space="preserve">A </w:t>
            </w:r>
            <w:r w:rsidR="001C22A8">
              <w:t>behavioural</w:t>
            </w:r>
            <w:r>
              <w:t xml:space="preserve"> scoring engine tracks collaboration depth, page dependency rate, and cross-team page access. When a composite score crosses a defined threshold, a value milestone is surfaced — not a paywall.</w:t>
            </w:r>
          </w:p>
          <w:p w14:paraId="7EB2AA90" w14:textId="77777777" w:rsidR="00A72F9D" w:rsidRDefault="00000000">
            <w:pPr>
              <w:spacing w:before="80" w:after="80"/>
            </w:pPr>
            <w:r>
              <w:rPr>
                <w:b/>
                <w:bCs/>
                <w:color w:val="E8251A"/>
                <w:spacing w:val="60"/>
                <w:sz w:val="18"/>
                <w:szCs w:val="18"/>
              </w:rPr>
              <w:t xml:space="preserve">USER EXPERIENCE  </w:t>
            </w:r>
            <w:r>
              <w:t>BEFORE: User hits a guest limit, feels blocked, delays or avoids upgrade. AFTER: User receives an in-product moment — 'Your team has built something powerful. Here's what Plus unlocks for teams like yours.' Upgrade is framed as recognition, not restriction.</w:t>
            </w:r>
          </w:p>
          <w:p w14:paraId="274647D5" w14:textId="77777777" w:rsidR="00A72F9D" w:rsidRDefault="00000000">
            <w:pPr>
              <w:spacing w:before="80"/>
            </w:pPr>
            <w:r>
              <w:rPr>
                <w:b/>
                <w:bCs/>
                <w:color w:val="E8251A"/>
                <w:spacing w:val="60"/>
                <w:sz w:val="18"/>
                <w:szCs w:val="18"/>
              </w:rPr>
              <w:t xml:space="preserve">REVENUE EFFECT  </w:t>
            </w:r>
            <w:r>
              <w:rPr>
                <w:b/>
                <w:bCs/>
                <w:color w:val="E8251A"/>
              </w:rPr>
              <w:t>Converts the highest-intent, highest-value cohort before churn risk activates. Estimated 15–25% lift in Plus conversion from active free users.</w:t>
            </w:r>
          </w:p>
        </w:tc>
      </w:tr>
    </w:tbl>
    <w:p w14:paraId="4C83BBD1" w14:textId="77777777" w:rsidR="00A72F9D" w:rsidRDefault="00A72F9D">
      <w:pPr>
        <w:spacing w:before="120"/>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8864"/>
      </w:tblGrid>
      <w:tr w:rsidR="00A72F9D" w14:paraId="41954BBF" w14:textId="77777777" w:rsidTr="00B4489E">
        <w:tblPrEx>
          <w:tblCellMar>
            <w:top w:w="0" w:type="dxa"/>
            <w:bottom w:w="0" w:type="dxa"/>
          </w:tblCellMar>
        </w:tblPrEx>
        <w:tc>
          <w:tcPr>
            <w:tcW w:w="1200" w:type="dxa"/>
            <w:tcBorders>
              <w:top w:val="single" w:sz="1" w:space="0" w:color="E5E5E5"/>
              <w:left w:val="single" w:sz="1" w:space="0" w:color="E5E5E5"/>
              <w:bottom w:val="single" w:sz="1" w:space="0" w:color="E5E5E5"/>
              <w:right w:val="single" w:sz="1" w:space="0" w:color="E5E5E5"/>
            </w:tcBorders>
            <w:shd w:val="clear" w:color="auto" w:fill="1A1A1A"/>
            <w:tcMar>
              <w:top w:w="200" w:type="dxa"/>
              <w:left w:w="200" w:type="dxa"/>
              <w:bottom w:w="200" w:type="dxa"/>
              <w:right w:w="200" w:type="dxa"/>
            </w:tcMar>
            <w:vAlign w:val="center"/>
          </w:tcPr>
          <w:p w14:paraId="74C90E53" w14:textId="77777777" w:rsidR="00A72F9D" w:rsidRDefault="00000000">
            <w:pPr>
              <w:jc w:val="center"/>
            </w:pPr>
            <w:r>
              <w:rPr>
                <w:b/>
                <w:bCs/>
                <w:color w:val="F5C6C3"/>
                <w:sz w:val="64"/>
                <w:szCs w:val="64"/>
              </w:rPr>
              <w:t>02</w:t>
            </w:r>
          </w:p>
        </w:tc>
        <w:tc>
          <w:tcPr>
            <w:tcW w:w="8864" w:type="dxa"/>
            <w:tcBorders>
              <w:top w:val="single" w:sz="1" w:space="0" w:color="E5E5E5"/>
              <w:left w:val="single" w:sz="1" w:space="0" w:color="E5E5E5"/>
              <w:bottom w:val="single" w:sz="1" w:space="0" w:color="E5E5E5"/>
              <w:right w:val="single" w:sz="1" w:space="0" w:color="E5E5E5"/>
            </w:tcBorders>
            <w:shd w:val="clear" w:color="auto" w:fill="FFFFFF"/>
            <w:tcMar>
              <w:top w:w="200" w:type="dxa"/>
              <w:left w:w="280" w:type="dxa"/>
              <w:bottom w:w="200" w:type="dxa"/>
              <w:right w:w="280" w:type="dxa"/>
            </w:tcMar>
          </w:tcPr>
          <w:p w14:paraId="60377857" w14:textId="77777777" w:rsidR="00A72F9D" w:rsidRDefault="00000000">
            <w:pPr>
              <w:spacing w:after="120"/>
            </w:pPr>
            <w:r>
              <w:rPr>
                <w:b/>
                <w:bCs/>
                <w:color w:val="0A0A0A"/>
                <w:sz w:val="28"/>
                <w:szCs w:val="28"/>
              </w:rPr>
              <w:t>Team-Level Monetization</w:t>
            </w:r>
          </w:p>
          <w:p w14:paraId="4B109AEA" w14:textId="77777777" w:rsidR="00A72F9D" w:rsidRDefault="00000000">
            <w:pPr>
              <w:spacing w:before="80" w:after="80"/>
            </w:pPr>
            <w:r>
              <w:rPr>
                <w:b/>
                <w:bCs/>
                <w:color w:val="E8251A"/>
                <w:spacing w:val="60"/>
                <w:sz w:val="18"/>
                <w:szCs w:val="18"/>
              </w:rPr>
              <w:t xml:space="preserve">TRIGGER  </w:t>
            </w:r>
            <w:r>
              <w:t>A workspace reaches 3+ active members collaborating on shared pages within a 14-day period.</w:t>
            </w:r>
          </w:p>
          <w:p w14:paraId="5713DFC5" w14:textId="77777777" w:rsidR="00A72F9D" w:rsidRDefault="00000000">
            <w:pPr>
              <w:spacing w:before="80" w:after="80"/>
            </w:pPr>
            <w:r>
              <w:rPr>
                <w:b/>
                <w:bCs/>
                <w:color w:val="E8251A"/>
                <w:spacing w:val="60"/>
                <w:sz w:val="18"/>
                <w:szCs w:val="18"/>
              </w:rPr>
              <w:t xml:space="preserve">MECHANISM  </w:t>
            </w:r>
            <w:r>
              <w:t>A lightweight Team plan activates automatically in the UI — not as a forced gate, but as a contextual offer tied to team activity. Pricing reflects team size, not arbitrary seat caps.</w:t>
            </w:r>
          </w:p>
          <w:p w14:paraId="307C5D76" w14:textId="77777777" w:rsidR="00A72F9D" w:rsidRDefault="00000000">
            <w:pPr>
              <w:spacing w:before="80" w:after="80"/>
            </w:pPr>
            <w:r>
              <w:rPr>
                <w:b/>
                <w:bCs/>
                <w:color w:val="E8251A"/>
                <w:spacing w:val="60"/>
                <w:sz w:val="18"/>
                <w:szCs w:val="18"/>
              </w:rPr>
              <w:t xml:space="preserve">USER EXPERIENCE  </w:t>
            </w:r>
            <w:r>
              <w:t>BEFORE: Teams grow organically on free tier. No monetization signal, no upgrade path visible. AFTER: Team formation itself becomes a monetization event. Offer appears as the team is experiencing peak value — 'You're building something together. Get the infrastructure to match.'</w:t>
            </w:r>
          </w:p>
          <w:p w14:paraId="2E1A49FD" w14:textId="77777777" w:rsidR="00A72F9D" w:rsidRDefault="00000000">
            <w:pPr>
              <w:spacing w:before="80"/>
            </w:pPr>
            <w:r>
              <w:rPr>
                <w:b/>
                <w:bCs/>
                <w:color w:val="E8251A"/>
                <w:spacing w:val="60"/>
                <w:sz w:val="18"/>
                <w:szCs w:val="18"/>
              </w:rPr>
              <w:t xml:space="preserve">REVENUE EFFECT  </w:t>
            </w:r>
            <w:r>
              <w:rPr>
                <w:b/>
                <w:bCs/>
                <w:color w:val="E8251A"/>
              </w:rPr>
              <w:t>Unlocks revenue at the point of maximum engagement. Converts organic virality — currently free — into a revenue multiplier.</w:t>
            </w:r>
          </w:p>
        </w:tc>
      </w:tr>
    </w:tbl>
    <w:p w14:paraId="1787BA40" w14:textId="77777777" w:rsidR="00A72F9D" w:rsidRDefault="00A72F9D">
      <w:pPr>
        <w:spacing w:before="120"/>
      </w:pPr>
    </w:p>
    <w:p w14:paraId="086C69AB" w14:textId="77777777" w:rsidR="00B4489E" w:rsidRDefault="00B4489E">
      <w:pPr>
        <w:spacing w:before="120"/>
      </w:pPr>
    </w:p>
    <w:p w14:paraId="73CDBDDC" w14:textId="77777777" w:rsidR="00B4489E" w:rsidRDefault="00B4489E">
      <w:pPr>
        <w:spacing w:before="120"/>
      </w:pPr>
    </w:p>
    <w:p w14:paraId="23E32FD4" w14:textId="77777777" w:rsidR="00B4489E" w:rsidRDefault="00B4489E">
      <w:pPr>
        <w:spacing w:before="120"/>
      </w:pPr>
    </w:p>
    <w:p w14:paraId="0E749811" w14:textId="77777777" w:rsidR="00B4489E" w:rsidRDefault="00B4489E">
      <w:pPr>
        <w:spacing w:before="120"/>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8864"/>
      </w:tblGrid>
      <w:tr w:rsidR="00A72F9D" w14:paraId="7B936D16" w14:textId="77777777" w:rsidTr="00B4489E">
        <w:tblPrEx>
          <w:tblCellMar>
            <w:top w:w="0" w:type="dxa"/>
            <w:bottom w:w="0" w:type="dxa"/>
          </w:tblCellMar>
        </w:tblPrEx>
        <w:tc>
          <w:tcPr>
            <w:tcW w:w="1200" w:type="dxa"/>
            <w:tcBorders>
              <w:top w:val="single" w:sz="1" w:space="0" w:color="E5E5E5"/>
              <w:left w:val="single" w:sz="1" w:space="0" w:color="E5E5E5"/>
              <w:bottom w:val="single" w:sz="1" w:space="0" w:color="E5E5E5"/>
              <w:right w:val="single" w:sz="1" w:space="0" w:color="E5E5E5"/>
            </w:tcBorders>
            <w:shd w:val="clear" w:color="auto" w:fill="1A1A1A"/>
            <w:tcMar>
              <w:top w:w="200" w:type="dxa"/>
              <w:left w:w="200" w:type="dxa"/>
              <w:bottom w:w="200" w:type="dxa"/>
              <w:right w:w="200" w:type="dxa"/>
            </w:tcMar>
            <w:vAlign w:val="center"/>
          </w:tcPr>
          <w:p w14:paraId="4D00F740" w14:textId="77777777" w:rsidR="00A72F9D" w:rsidRDefault="00000000">
            <w:pPr>
              <w:jc w:val="center"/>
            </w:pPr>
            <w:r>
              <w:rPr>
                <w:b/>
                <w:bCs/>
                <w:color w:val="F5C6C3"/>
                <w:sz w:val="64"/>
                <w:szCs w:val="64"/>
              </w:rPr>
              <w:lastRenderedPageBreak/>
              <w:t>03</w:t>
            </w:r>
          </w:p>
        </w:tc>
        <w:tc>
          <w:tcPr>
            <w:tcW w:w="8864" w:type="dxa"/>
            <w:tcBorders>
              <w:top w:val="single" w:sz="1" w:space="0" w:color="E5E5E5"/>
              <w:left w:val="single" w:sz="1" w:space="0" w:color="E5E5E5"/>
              <w:bottom w:val="single" w:sz="1" w:space="0" w:color="E5E5E5"/>
              <w:right w:val="single" w:sz="1" w:space="0" w:color="E5E5E5"/>
            </w:tcBorders>
            <w:shd w:val="clear" w:color="auto" w:fill="FFFFFF"/>
            <w:tcMar>
              <w:top w:w="200" w:type="dxa"/>
              <w:left w:w="280" w:type="dxa"/>
              <w:bottom w:w="200" w:type="dxa"/>
              <w:right w:w="280" w:type="dxa"/>
            </w:tcMar>
          </w:tcPr>
          <w:p w14:paraId="391A2F76" w14:textId="77777777" w:rsidR="00A72F9D" w:rsidRDefault="00000000">
            <w:pPr>
              <w:spacing w:after="120"/>
            </w:pPr>
            <w:r>
              <w:rPr>
                <w:b/>
                <w:bCs/>
                <w:color w:val="0A0A0A"/>
                <w:sz w:val="28"/>
                <w:szCs w:val="28"/>
              </w:rPr>
              <w:t>Progressive Upgrade Triggers</w:t>
            </w:r>
          </w:p>
          <w:p w14:paraId="3C9B9A35" w14:textId="77777777" w:rsidR="00A72F9D" w:rsidRDefault="00000000">
            <w:pPr>
              <w:spacing w:before="80" w:after="80"/>
            </w:pPr>
            <w:r>
              <w:rPr>
                <w:b/>
                <w:bCs/>
                <w:color w:val="E8251A"/>
                <w:spacing w:val="60"/>
                <w:sz w:val="18"/>
                <w:szCs w:val="18"/>
              </w:rPr>
              <w:t xml:space="preserve">TRIGGER  </w:t>
            </w:r>
            <w:r>
              <w:t>User is within 80% of any usage threshold — guest count, page history, file attachment size.</w:t>
            </w:r>
          </w:p>
          <w:p w14:paraId="3877C303" w14:textId="77777777" w:rsidR="00A72F9D" w:rsidRDefault="00000000">
            <w:pPr>
              <w:spacing w:before="80" w:after="80"/>
            </w:pPr>
            <w:r>
              <w:rPr>
                <w:b/>
                <w:bCs/>
                <w:color w:val="E8251A"/>
                <w:spacing w:val="60"/>
                <w:sz w:val="18"/>
                <w:szCs w:val="18"/>
              </w:rPr>
              <w:t xml:space="preserve">MECHANISM  </w:t>
            </w:r>
            <w:r>
              <w:t>Instead of a hard wall, the system surfaces a gradient prompt: a value-framed nudge that shows what's possible, not what's blocked. The prompt appears proactively — before frustration, while the user is in flow.</w:t>
            </w:r>
          </w:p>
          <w:p w14:paraId="6581292C" w14:textId="77777777" w:rsidR="00A72F9D" w:rsidRDefault="00000000">
            <w:pPr>
              <w:spacing w:before="80" w:after="80"/>
            </w:pPr>
            <w:r>
              <w:rPr>
                <w:b/>
                <w:bCs/>
                <w:color w:val="E8251A"/>
                <w:spacing w:val="60"/>
                <w:sz w:val="18"/>
                <w:szCs w:val="18"/>
              </w:rPr>
              <w:t xml:space="preserve">USER EXPERIENCE  </w:t>
            </w:r>
            <w:r>
              <w:t>BEFORE: 'You've reached your guest limit. Upgrade to add more.' AFTER: 'Your team is growing fast. See what Plus teams accomplish with unlimited guests and advanced permissions.' Limitation is contextualized as an opportunity.</w:t>
            </w:r>
          </w:p>
          <w:p w14:paraId="27156A15" w14:textId="77777777" w:rsidR="00A72F9D" w:rsidRDefault="00000000">
            <w:pPr>
              <w:spacing w:before="80"/>
            </w:pPr>
            <w:r>
              <w:rPr>
                <w:b/>
                <w:bCs/>
                <w:color w:val="E8251A"/>
                <w:spacing w:val="60"/>
                <w:sz w:val="18"/>
                <w:szCs w:val="18"/>
              </w:rPr>
              <w:t xml:space="preserve">REVENUE EFFECT  </w:t>
            </w:r>
            <w:r>
              <w:rPr>
                <w:b/>
                <w:bCs/>
                <w:color w:val="E8251A"/>
              </w:rPr>
              <w:t>Eliminates the friction spike at the constraint boundary. Reduces churn-driven urgency. Increases upgrade rates by converting decision from defensive to aspirational.</w:t>
            </w:r>
          </w:p>
        </w:tc>
      </w:tr>
    </w:tbl>
    <w:p w14:paraId="61CCCD71" w14:textId="77777777" w:rsidR="00A72F9D" w:rsidRDefault="00A72F9D">
      <w:pPr>
        <w:spacing w:before="120"/>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8864"/>
      </w:tblGrid>
      <w:tr w:rsidR="00A72F9D" w14:paraId="3939C831" w14:textId="77777777" w:rsidTr="00B4489E">
        <w:tblPrEx>
          <w:tblCellMar>
            <w:top w:w="0" w:type="dxa"/>
            <w:bottom w:w="0" w:type="dxa"/>
          </w:tblCellMar>
        </w:tblPrEx>
        <w:tc>
          <w:tcPr>
            <w:tcW w:w="1200" w:type="dxa"/>
            <w:tcBorders>
              <w:top w:val="single" w:sz="1" w:space="0" w:color="E5E5E5"/>
              <w:left w:val="single" w:sz="1" w:space="0" w:color="E5E5E5"/>
              <w:bottom w:val="single" w:sz="1" w:space="0" w:color="E5E5E5"/>
              <w:right w:val="single" w:sz="1" w:space="0" w:color="E5E5E5"/>
            </w:tcBorders>
            <w:shd w:val="clear" w:color="auto" w:fill="1A1A1A"/>
            <w:tcMar>
              <w:top w:w="200" w:type="dxa"/>
              <w:left w:w="200" w:type="dxa"/>
              <w:bottom w:w="200" w:type="dxa"/>
              <w:right w:w="200" w:type="dxa"/>
            </w:tcMar>
            <w:vAlign w:val="center"/>
          </w:tcPr>
          <w:p w14:paraId="08F249FC" w14:textId="77777777" w:rsidR="00A72F9D" w:rsidRDefault="00000000">
            <w:pPr>
              <w:jc w:val="center"/>
            </w:pPr>
            <w:r>
              <w:rPr>
                <w:b/>
                <w:bCs/>
                <w:color w:val="F5C6C3"/>
                <w:sz w:val="64"/>
                <w:szCs w:val="64"/>
              </w:rPr>
              <w:t>04</w:t>
            </w:r>
          </w:p>
        </w:tc>
        <w:tc>
          <w:tcPr>
            <w:tcW w:w="8864" w:type="dxa"/>
            <w:tcBorders>
              <w:top w:val="single" w:sz="1" w:space="0" w:color="E5E5E5"/>
              <w:left w:val="single" w:sz="1" w:space="0" w:color="E5E5E5"/>
              <w:bottom w:val="single" w:sz="1" w:space="0" w:color="E5E5E5"/>
              <w:right w:val="single" w:sz="1" w:space="0" w:color="E5E5E5"/>
            </w:tcBorders>
            <w:shd w:val="clear" w:color="auto" w:fill="FFFFFF"/>
            <w:tcMar>
              <w:top w:w="200" w:type="dxa"/>
              <w:left w:w="280" w:type="dxa"/>
              <w:bottom w:w="200" w:type="dxa"/>
              <w:right w:w="280" w:type="dxa"/>
            </w:tcMar>
          </w:tcPr>
          <w:p w14:paraId="520D0B88" w14:textId="77777777" w:rsidR="00A72F9D" w:rsidRDefault="00000000">
            <w:pPr>
              <w:spacing w:after="120"/>
            </w:pPr>
            <w:r>
              <w:rPr>
                <w:b/>
                <w:bCs/>
                <w:color w:val="0A0A0A"/>
                <w:sz w:val="28"/>
                <w:szCs w:val="28"/>
              </w:rPr>
              <w:t>Self-Serve Enterprise Pathway</w:t>
            </w:r>
          </w:p>
          <w:p w14:paraId="59804914" w14:textId="77777777" w:rsidR="00A72F9D" w:rsidRDefault="00000000">
            <w:pPr>
              <w:spacing w:before="80" w:after="80"/>
            </w:pPr>
            <w:r>
              <w:rPr>
                <w:b/>
                <w:bCs/>
                <w:color w:val="E8251A"/>
                <w:spacing w:val="60"/>
                <w:sz w:val="18"/>
                <w:szCs w:val="18"/>
              </w:rPr>
              <w:t xml:space="preserve">TRIGGER  </w:t>
            </w:r>
            <w:r>
              <w:t>A workspace has 10+ members, uses SSO-eligible email domains, or has a team admin who has searched for SSO/compliance settings.</w:t>
            </w:r>
          </w:p>
          <w:p w14:paraId="29807AF4" w14:textId="77777777" w:rsidR="00A72F9D" w:rsidRDefault="00000000">
            <w:pPr>
              <w:spacing w:before="80" w:after="80"/>
            </w:pPr>
            <w:r>
              <w:rPr>
                <w:b/>
                <w:bCs/>
                <w:color w:val="E8251A"/>
                <w:spacing w:val="60"/>
                <w:sz w:val="18"/>
                <w:szCs w:val="18"/>
              </w:rPr>
              <w:t xml:space="preserve">MECHANISM  </w:t>
            </w:r>
            <w:r>
              <w:t>An 'Enterprise Lite' tier — covering SSO, basic audit logs, and domain management — becomes available via in-product self-serve. No sales call required for initial activation. Sales is reserved for expansion above a defined seat threshold.</w:t>
            </w:r>
          </w:p>
          <w:p w14:paraId="40F9B1B1" w14:textId="77777777" w:rsidR="00A72F9D" w:rsidRDefault="00000000">
            <w:pPr>
              <w:spacing w:before="80" w:after="80"/>
            </w:pPr>
            <w:r>
              <w:rPr>
                <w:b/>
                <w:bCs/>
                <w:color w:val="E8251A"/>
                <w:spacing w:val="60"/>
                <w:sz w:val="18"/>
                <w:szCs w:val="18"/>
              </w:rPr>
              <w:t xml:space="preserve">USER EXPERIENCE  </w:t>
            </w:r>
            <w:r>
              <w:t>BEFORE: IT admin identifies compliance need, submits inquiry, waits for sales outreach, begins negotiation. Time to revenue: 60–120 days. AFTER: Admin activates Enterprise Lite in 15 minutes. Sales engages post-activation for expansion. Time to revenue: same day.</w:t>
            </w:r>
          </w:p>
          <w:p w14:paraId="46229EFA" w14:textId="77777777" w:rsidR="00A72F9D" w:rsidRDefault="00000000">
            <w:pPr>
              <w:spacing w:before="80"/>
            </w:pPr>
            <w:r>
              <w:rPr>
                <w:b/>
                <w:bCs/>
                <w:color w:val="E8251A"/>
                <w:spacing w:val="60"/>
                <w:sz w:val="18"/>
                <w:szCs w:val="18"/>
              </w:rPr>
              <w:t xml:space="preserve">REVENUE EFFECT  </w:t>
            </w:r>
            <w:r>
              <w:rPr>
                <w:b/>
                <w:bCs/>
                <w:color w:val="E8251A"/>
              </w:rPr>
              <w:t>Eliminates the single largest bottleneck in enterprise conversion. Captures the 10–100 seat segment — the fastest-growing enterprise entry point — without sales cost.</w:t>
            </w:r>
          </w:p>
        </w:tc>
      </w:tr>
    </w:tbl>
    <w:p w14:paraId="78C1E4CD" w14:textId="77777777" w:rsidR="00A72F9D" w:rsidRDefault="00A72F9D">
      <w:pPr>
        <w:spacing w:before="120"/>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8864"/>
      </w:tblGrid>
      <w:tr w:rsidR="00A72F9D" w14:paraId="22868C4F" w14:textId="77777777" w:rsidTr="00B4489E">
        <w:tblPrEx>
          <w:tblCellMar>
            <w:top w:w="0" w:type="dxa"/>
            <w:bottom w:w="0" w:type="dxa"/>
          </w:tblCellMar>
        </w:tblPrEx>
        <w:tc>
          <w:tcPr>
            <w:tcW w:w="1200" w:type="dxa"/>
            <w:tcBorders>
              <w:top w:val="single" w:sz="1" w:space="0" w:color="E5E5E5"/>
              <w:left w:val="single" w:sz="1" w:space="0" w:color="E5E5E5"/>
              <w:bottom w:val="single" w:sz="1" w:space="0" w:color="E5E5E5"/>
              <w:right w:val="single" w:sz="1" w:space="0" w:color="E5E5E5"/>
            </w:tcBorders>
            <w:shd w:val="clear" w:color="auto" w:fill="1A1A1A"/>
            <w:tcMar>
              <w:top w:w="200" w:type="dxa"/>
              <w:left w:w="200" w:type="dxa"/>
              <w:bottom w:w="200" w:type="dxa"/>
              <w:right w:w="200" w:type="dxa"/>
            </w:tcMar>
            <w:vAlign w:val="center"/>
          </w:tcPr>
          <w:p w14:paraId="417386FB" w14:textId="77777777" w:rsidR="00A72F9D" w:rsidRDefault="00000000">
            <w:pPr>
              <w:jc w:val="center"/>
            </w:pPr>
            <w:r>
              <w:rPr>
                <w:b/>
                <w:bCs/>
                <w:color w:val="F5C6C3"/>
                <w:sz w:val="64"/>
                <w:szCs w:val="64"/>
              </w:rPr>
              <w:t>05</w:t>
            </w:r>
          </w:p>
        </w:tc>
        <w:tc>
          <w:tcPr>
            <w:tcW w:w="8864" w:type="dxa"/>
            <w:tcBorders>
              <w:top w:val="single" w:sz="1" w:space="0" w:color="E5E5E5"/>
              <w:left w:val="single" w:sz="1" w:space="0" w:color="E5E5E5"/>
              <w:bottom w:val="single" w:sz="1" w:space="0" w:color="E5E5E5"/>
              <w:right w:val="single" w:sz="1" w:space="0" w:color="E5E5E5"/>
            </w:tcBorders>
            <w:shd w:val="clear" w:color="auto" w:fill="FFFFFF"/>
            <w:tcMar>
              <w:top w:w="200" w:type="dxa"/>
              <w:left w:w="280" w:type="dxa"/>
              <w:bottom w:w="200" w:type="dxa"/>
              <w:right w:w="280" w:type="dxa"/>
            </w:tcMar>
          </w:tcPr>
          <w:p w14:paraId="080E246D" w14:textId="77777777" w:rsidR="00A72F9D" w:rsidRDefault="00000000">
            <w:pPr>
              <w:spacing w:after="120"/>
            </w:pPr>
            <w:r>
              <w:rPr>
                <w:b/>
                <w:bCs/>
                <w:color w:val="0A0A0A"/>
                <w:sz w:val="28"/>
                <w:szCs w:val="28"/>
              </w:rPr>
              <w:t>Expansion Revenue Alignment</w:t>
            </w:r>
          </w:p>
          <w:p w14:paraId="219829E3" w14:textId="77777777" w:rsidR="00A72F9D" w:rsidRDefault="00000000">
            <w:pPr>
              <w:spacing w:before="80" w:after="80"/>
            </w:pPr>
            <w:r>
              <w:rPr>
                <w:b/>
                <w:bCs/>
                <w:color w:val="E8251A"/>
                <w:spacing w:val="60"/>
                <w:sz w:val="18"/>
                <w:szCs w:val="18"/>
              </w:rPr>
              <w:t xml:space="preserve">TRIGGER  </w:t>
            </w:r>
            <w:r>
              <w:t xml:space="preserve">A new member joins an existing paid workspace, a new </w:t>
            </w:r>
            <w:proofErr w:type="spellStart"/>
            <w:r>
              <w:t>teamspace</w:t>
            </w:r>
            <w:proofErr w:type="spellEnd"/>
            <w:r>
              <w:t xml:space="preserve"> is created, or a workflow expands to involve a department that was previously free.</w:t>
            </w:r>
          </w:p>
          <w:p w14:paraId="658BBD75" w14:textId="77777777" w:rsidR="00A72F9D" w:rsidRDefault="00000000">
            <w:pPr>
              <w:spacing w:before="80" w:after="80"/>
            </w:pPr>
            <w:r>
              <w:rPr>
                <w:b/>
                <w:bCs/>
                <w:color w:val="E8251A"/>
                <w:spacing w:val="60"/>
                <w:sz w:val="18"/>
                <w:szCs w:val="18"/>
              </w:rPr>
              <w:t xml:space="preserve">MECHANISM  </w:t>
            </w:r>
            <w:r>
              <w:t>An automated seat-expansion loop surfaces contextual upgrade prompts tied to growth events. The system detects when a paid workspace is growing and routes the admin toward expansion — before usage creates friction.</w:t>
            </w:r>
          </w:p>
          <w:p w14:paraId="3CF02319" w14:textId="77777777" w:rsidR="00A72F9D" w:rsidRDefault="00000000">
            <w:pPr>
              <w:spacing w:before="80" w:after="80"/>
            </w:pPr>
            <w:r>
              <w:rPr>
                <w:b/>
                <w:bCs/>
                <w:color w:val="E8251A"/>
                <w:spacing w:val="60"/>
                <w:sz w:val="18"/>
                <w:szCs w:val="18"/>
              </w:rPr>
              <w:t xml:space="preserve">USER EXPERIENCE  </w:t>
            </w:r>
            <w:r>
              <w:t>BEFORE: Admin manually realizes they need more seats, logs in to billing, adjusts. Expansion is manual, delayed, and often skipped. AFTER: 'Your team just added 3 new members. Your plan covers them — here's what changes at the next tier.' Expansion is a natural continuation of growth.</w:t>
            </w:r>
          </w:p>
          <w:p w14:paraId="637F37A4" w14:textId="77777777" w:rsidR="00A72F9D" w:rsidRDefault="00000000">
            <w:pPr>
              <w:spacing w:before="80"/>
            </w:pPr>
            <w:r>
              <w:rPr>
                <w:b/>
                <w:bCs/>
                <w:color w:val="E8251A"/>
                <w:spacing w:val="60"/>
                <w:sz w:val="18"/>
                <w:szCs w:val="18"/>
              </w:rPr>
              <w:t xml:space="preserve">REVENUE EFFECT  </w:t>
            </w:r>
            <w:r>
              <w:rPr>
                <w:b/>
                <w:bCs/>
                <w:color w:val="E8251A"/>
              </w:rPr>
              <w:t>Transforms NRR from a lagging metric to a proactive mechanism. Seat expansion becomes automatic. Revenue scales with team dependency, not against it.</w:t>
            </w:r>
          </w:p>
        </w:tc>
      </w:tr>
    </w:tbl>
    <w:p w14:paraId="0108A984" w14:textId="77777777" w:rsidR="00A72F9D" w:rsidRDefault="00000000">
      <w:r>
        <w:br w:type="page"/>
      </w:r>
    </w:p>
    <w:p w14:paraId="445BEED1" w14:textId="77777777" w:rsidR="00A72F9D" w:rsidRDefault="00000000">
      <w:pPr>
        <w:spacing w:before="360" w:after="80"/>
      </w:pPr>
      <w:r>
        <w:rPr>
          <w:b/>
          <w:bCs/>
          <w:color w:val="E8251A"/>
          <w:spacing w:val="120"/>
          <w:sz w:val="16"/>
          <w:szCs w:val="16"/>
        </w:rPr>
        <w:lastRenderedPageBreak/>
        <w:t>06 / TIMING SHIFT</w:t>
      </w:r>
    </w:p>
    <w:p w14:paraId="15E594CE" w14:textId="77777777" w:rsidR="00A72F9D" w:rsidRDefault="00000000">
      <w:pPr>
        <w:spacing w:before="60" w:after="200"/>
      </w:pPr>
      <w:r>
        <w:rPr>
          <w:b/>
          <w:bCs/>
          <w:color w:val="0A0A0A"/>
          <w:sz w:val="48"/>
          <w:szCs w:val="48"/>
        </w:rPr>
        <w:t>Upgrade Trigger Flow: Before vs. After</w:t>
      </w:r>
    </w:p>
    <w:p w14:paraId="238A6FB7" w14:textId="77777777" w:rsidR="00A72F9D" w:rsidRDefault="00000000">
      <w:pPr>
        <w:spacing w:before="80" w:after="80"/>
      </w:pPr>
      <w:r>
        <w:t>The current model is sequential and reactive: usage grows, dependency deepens, constraint hits, upgrade happens — reluctantly. The user experience is paying to get unblocked. The revenue profile is spiky, unpredictable, and churn-correlated.</w:t>
      </w:r>
    </w:p>
    <w:p w14:paraId="10EC80E5" w14:textId="77777777" w:rsidR="00A72F9D" w:rsidRDefault="00A72F9D">
      <w:pPr>
        <w:spacing w:before="80"/>
      </w:pPr>
    </w:p>
    <w:p w14:paraId="5C199A9F" w14:textId="77777777" w:rsidR="00A72F9D" w:rsidRDefault="00000000">
      <w:pPr>
        <w:spacing w:before="80" w:after="80"/>
      </w:pPr>
      <w:r>
        <w:t>The realigned model intercepts at the value milestone. When a team crosses a collaboration threshold, the system surfaces upgrade framing tied to that team's realized value — before any wall is hit. The user experience shifts from paying to escape to investing in what's already working.</w:t>
      </w:r>
    </w:p>
    <w:p w14:paraId="5D4D9FE6" w14:textId="77777777" w:rsidR="00A72F9D" w:rsidRDefault="00A72F9D">
      <w:pPr>
        <w:spacing w:before="160"/>
      </w:pPr>
    </w:p>
    <w:p w14:paraId="05FC281B" w14:textId="77777777" w:rsidR="00A72F9D" w:rsidRDefault="00000000">
      <w:pPr>
        <w:spacing w:after="80"/>
      </w:pPr>
      <w:r>
        <w:rPr>
          <w:b/>
          <w:bCs/>
          <w:color w:val="6B6B6B"/>
          <w:spacing w:val="100"/>
          <w:sz w:val="20"/>
          <w:szCs w:val="20"/>
        </w:rPr>
        <w:t>FIGURE 04  ·  UPGRADE TRIGGER FLOW: DELAYED VS. ALIGNED</w:t>
      </w:r>
    </w:p>
    <w:p w14:paraId="52ADEEE6" w14:textId="1A7AD608" w:rsidR="00A72F9D" w:rsidRDefault="001C22A8" w:rsidP="002C3358">
      <w:pPr>
        <w:spacing w:before="160" w:after="240"/>
      </w:pPr>
      <w:r>
        <w:rPr>
          <w:noProof/>
        </w:rPr>
        <w:drawing>
          <wp:inline distT="0" distB="0" distL="0" distR="0" wp14:anchorId="7571A31B" wp14:editId="76A55ADF">
            <wp:extent cx="6400800" cy="3602355"/>
            <wp:effectExtent l="0" t="0" r="0" b="0"/>
            <wp:docPr id="899342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42386" name="Picture 8993423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602355"/>
                    </a:xfrm>
                    <a:prstGeom prst="rect">
                      <a:avLst/>
                    </a:prstGeom>
                  </pic:spPr>
                </pic:pic>
              </a:graphicData>
            </a:graphic>
          </wp:inline>
        </w:drawing>
      </w:r>
    </w:p>
    <w:p w14:paraId="78491332" w14:textId="6E04BF50" w:rsidR="002C3358" w:rsidRDefault="001C22A8" w:rsidP="001C22A8">
      <w:pPr>
        <w:spacing w:before="240"/>
        <w:jc w:val="center"/>
      </w:pPr>
      <w:r w:rsidRPr="001C22A8">
        <w:rPr>
          <w:color w:val="6B6B6B"/>
          <w:sz w:val="20"/>
          <w:szCs w:val="20"/>
        </w:rPr>
        <w:t>Left: monetization happens after value is already delivered — generating resistance. Right: monetization is aligned to value realization — generating willingness.</w:t>
      </w:r>
    </w:p>
    <w:p w14:paraId="52A5CA8F" w14:textId="77777777" w:rsidR="001C22A8" w:rsidRDefault="001C22A8">
      <w:pPr>
        <w:spacing w:before="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A72F9D" w14:paraId="74EBFC78" w14:textId="77777777">
        <w:tblPrEx>
          <w:tblCellMar>
            <w:top w:w="0" w:type="dxa"/>
            <w:bottom w:w="0" w:type="dxa"/>
          </w:tblCellMar>
        </w:tblPrEx>
        <w:tc>
          <w:tcPr>
            <w:tcW w:w="4680" w:type="dxa"/>
            <w:tcBorders>
              <w:right w:val="single" w:sz="2" w:space="0" w:color="E5E5E5"/>
            </w:tcBorders>
            <w:shd w:val="clear" w:color="auto" w:fill="FDF0EF"/>
            <w:tcMar>
              <w:top w:w="200" w:type="dxa"/>
              <w:left w:w="280" w:type="dxa"/>
              <w:bottom w:w="200" w:type="dxa"/>
              <w:right w:w="280" w:type="dxa"/>
            </w:tcMar>
          </w:tcPr>
          <w:p w14:paraId="75B2DA33" w14:textId="77777777" w:rsidR="00A72F9D" w:rsidRDefault="00000000">
            <w:pPr>
              <w:spacing w:after="80"/>
            </w:pPr>
            <w:r>
              <w:rPr>
                <w:b/>
                <w:bCs/>
                <w:color w:val="E8251A"/>
                <w:sz w:val="20"/>
                <w:szCs w:val="20"/>
              </w:rPr>
              <w:t>BEFORE</w:t>
            </w:r>
          </w:p>
          <w:p w14:paraId="6969BEE6" w14:textId="77777777" w:rsidR="00A72F9D" w:rsidRDefault="00000000">
            <w:pPr>
              <w:pStyle w:val="ListParagraph"/>
              <w:numPr>
                <w:ilvl w:val="0"/>
                <w:numId w:val="2"/>
              </w:numPr>
              <w:spacing w:before="60" w:after="60"/>
            </w:pPr>
            <w:r>
              <w:rPr>
                <w:sz w:val="20"/>
                <w:szCs w:val="20"/>
              </w:rPr>
              <w:t>Upgrade triggered by constraint</w:t>
            </w:r>
          </w:p>
          <w:p w14:paraId="18CD7ECF" w14:textId="77777777" w:rsidR="00A72F9D" w:rsidRDefault="00000000">
            <w:pPr>
              <w:pStyle w:val="ListParagraph"/>
              <w:numPr>
                <w:ilvl w:val="0"/>
                <w:numId w:val="2"/>
              </w:numPr>
              <w:spacing w:before="60" w:after="60"/>
            </w:pPr>
            <w:r>
              <w:rPr>
                <w:sz w:val="20"/>
                <w:szCs w:val="20"/>
              </w:rPr>
              <w:t>Users feel blocked, not invested</w:t>
            </w:r>
          </w:p>
          <w:p w14:paraId="1E868B57" w14:textId="77777777" w:rsidR="00A72F9D" w:rsidRDefault="00000000">
            <w:pPr>
              <w:pStyle w:val="ListParagraph"/>
              <w:numPr>
                <w:ilvl w:val="0"/>
                <w:numId w:val="2"/>
              </w:numPr>
              <w:spacing w:before="60" w:after="60"/>
            </w:pPr>
            <w:r>
              <w:rPr>
                <w:sz w:val="20"/>
                <w:szCs w:val="20"/>
              </w:rPr>
              <w:t>Late, resisted, or avoided upgrades</w:t>
            </w:r>
          </w:p>
          <w:p w14:paraId="2A9C4EAA" w14:textId="77777777" w:rsidR="00A72F9D" w:rsidRDefault="00000000">
            <w:pPr>
              <w:pStyle w:val="ListParagraph"/>
              <w:numPr>
                <w:ilvl w:val="0"/>
                <w:numId w:val="2"/>
              </w:numPr>
              <w:spacing w:before="60" w:after="60"/>
            </w:pPr>
            <w:r>
              <w:rPr>
                <w:sz w:val="20"/>
                <w:szCs w:val="20"/>
              </w:rPr>
              <w:t>Revenue is spiky and unpredictable</w:t>
            </w:r>
          </w:p>
        </w:tc>
        <w:tc>
          <w:tcPr>
            <w:tcW w:w="4680" w:type="dxa"/>
            <w:shd w:val="clear" w:color="auto" w:fill="1A1A1A"/>
            <w:tcMar>
              <w:top w:w="200" w:type="dxa"/>
              <w:left w:w="280" w:type="dxa"/>
              <w:bottom w:w="200" w:type="dxa"/>
              <w:right w:w="280" w:type="dxa"/>
            </w:tcMar>
          </w:tcPr>
          <w:p w14:paraId="4982A33A" w14:textId="77777777" w:rsidR="00A72F9D" w:rsidRDefault="00000000">
            <w:pPr>
              <w:spacing w:after="80"/>
            </w:pPr>
            <w:r>
              <w:rPr>
                <w:b/>
                <w:bCs/>
                <w:color w:val="E8251A"/>
                <w:sz w:val="20"/>
                <w:szCs w:val="20"/>
              </w:rPr>
              <w:t>AFTER</w:t>
            </w:r>
          </w:p>
          <w:p w14:paraId="33BCCF3F" w14:textId="77777777" w:rsidR="00A72F9D" w:rsidRDefault="00000000">
            <w:pPr>
              <w:pStyle w:val="ListParagraph"/>
              <w:numPr>
                <w:ilvl w:val="0"/>
                <w:numId w:val="2"/>
              </w:numPr>
              <w:spacing w:before="60" w:after="60"/>
            </w:pPr>
            <w:r>
              <w:rPr>
                <w:color w:val="E5E5E5"/>
                <w:sz w:val="20"/>
                <w:szCs w:val="20"/>
              </w:rPr>
              <w:t>Upgrade triggered by value milestone</w:t>
            </w:r>
          </w:p>
          <w:p w14:paraId="6D67824B" w14:textId="77777777" w:rsidR="00A72F9D" w:rsidRDefault="00000000">
            <w:pPr>
              <w:pStyle w:val="ListParagraph"/>
              <w:numPr>
                <w:ilvl w:val="0"/>
                <w:numId w:val="2"/>
              </w:numPr>
              <w:spacing w:before="60" w:after="60"/>
            </w:pPr>
            <w:r>
              <w:rPr>
                <w:color w:val="E5E5E5"/>
                <w:sz w:val="20"/>
                <w:szCs w:val="20"/>
              </w:rPr>
              <w:t>Users feel they're investing in growth</w:t>
            </w:r>
          </w:p>
          <w:p w14:paraId="36FE725B" w14:textId="77777777" w:rsidR="00A72F9D" w:rsidRDefault="00000000">
            <w:pPr>
              <w:pStyle w:val="ListParagraph"/>
              <w:numPr>
                <w:ilvl w:val="0"/>
                <w:numId w:val="2"/>
              </w:numPr>
              <w:spacing w:before="60" w:after="60"/>
            </w:pPr>
            <w:r>
              <w:rPr>
                <w:color w:val="E5E5E5"/>
                <w:sz w:val="20"/>
                <w:szCs w:val="20"/>
              </w:rPr>
              <w:t>Timely, willing, value-aligned upgrades</w:t>
            </w:r>
          </w:p>
          <w:p w14:paraId="5A75D151" w14:textId="77777777" w:rsidR="00A72F9D" w:rsidRDefault="00000000">
            <w:pPr>
              <w:pStyle w:val="ListParagraph"/>
              <w:numPr>
                <w:ilvl w:val="0"/>
                <w:numId w:val="2"/>
              </w:numPr>
              <w:spacing w:before="60" w:after="60"/>
            </w:pPr>
            <w:r>
              <w:rPr>
                <w:color w:val="E5E5E5"/>
                <w:sz w:val="20"/>
                <w:szCs w:val="20"/>
              </w:rPr>
              <w:t>Revenue scales with team dependency</w:t>
            </w:r>
          </w:p>
        </w:tc>
      </w:tr>
    </w:tbl>
    <w:p w14:paraId="1C4184F4" w14:textId="77777777" w:rsidR="00A72F9D" w:rsidRDefault="00A72F9D">
      <w:pPr>
        <w:spacing w:before="240"/>
      </w:pPr>
    </w:p>
    <w:p w14:paraId="189633C6" w14:textId="77777777" w:rsidR="00A72F9D" w:rsidRDefault="00000000">
      <w:r>
        <w:br w:type="page"/>
      </w:r>
    </w:p>
    <w:p w14:paraId="554CF012" w14:textId="77777777" w:rsidR="00A72F9D" w:rsidRDefault="00000000">
      <w:pPr>
        <w:spacing w:before="360" w:after="80"/>
      </w:pPr>
      <w:r>
        <w:rPr>
          <w:b/>
          <w:bCs/>
          <w:color w:val="E8251A"/>
          <w:spacing w:val="120"/>
          <w:sz w:val="16"/>
          <w:szCs w:val="16"/>
        </w:rPr>
        <w:lastRenderedPageBreak/>
        <w:t>07 / REVENUE IMPACT</w:t>
      </w:r>
    </w:p>
    <w:p w14:paraId="03A2C4C6" w14:textId="77777777" w:rsidR="00A72F9D" w:rsidRDefault="00000000">
      <w:pPr>
        <w:spacing w:before="60" w:after="200"/>
      </w:pPr>
      <w:r>
        <w:rPr>
          <w:b/>
          <w:bCs/>
          <w:color w:val="0A0A0A"/>
          <w:sz w:val="48"/>
          <w:szCs w:val="48"/>
        </w:rPr>
        <w:t>The Opportunity: $95M–$135M ARR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A72F9D" w14:paraId="4CF95A37" w14:textId="77777777">
        <w:tblPrEx>
          <w:tblCellMar>
            <w:top w:w="0" w:type="dxa"/>
            <w:bottom w:w="0" w:type="dxa"/>
          </w:tblCellMar>
        </w:tblPrEx>
        <w:tc>
          <w:tcPr>
            <w:tcW w:w="9360" w:type="dxa"/>
            <w:shd w:val="clear" w:color="auto" w:fill="1A1A1A"/>
            <w:tcMar>
              <w:top w:w="280" w:type="dxa"/>
              <w:left w:w="360" w:type="dxa"/>
              <w:bottom w:w="280" w:type="dxa"/>
              <w:right w:w="360" w:type="dxa"/>
            </w:tcMar>
          </w:tcPr>
          <w:p w14:paraId="1663986E" w14:textId="77777777" w:rsidR="00A72F9D" w:rsidRDefault="00000000">
            <w:pPr>
              <w:spacing w:after="120"/>
              <w:jc w:val="center"/>
            </w:pPr>
            <w:r>
              <w:rPr>
                <w:b/>
                <w:bCs/>
                <w:color w:val="E8251A"/>
                <w:spacing w:val="80"/>
              </w:rPr>
              <w:t>LAYER 1  ·  STRATEGIC FRAMING</w:t>
            </w:r>
          </w:p>
          <w:p w14:paraId="05DB65CB" w14:textId="77777777" w:rsidR="00A72F9D" w:rsidRDefault="00000000">
            <w:pPr>
              <w:spacing w:after="60"/>
              <w:jc w:val="center"/>
            </w:pPr>
            <w:r>
              <w:rPr>
                <w:b/>
                <w:bCs/>
                <w:color w:val="FFFFFF"/>
                <w:sz w:val="30"/>
                <w:szCs w:val="30"/>
              </w:rPr>
              <w:t>This is not incremental optimization.</w:t>
            </w:r>
          </w:p>
          <w:p w14:paraId="4CDCC834" w14:textId="77777777" w:rsidR="00A72F9D" w:rsidRDefault="00000000">
            <w:pPr>
              <w:jc w:val="center"/>
            </w:pPr>
            <w:r>
              <w:rPr>
                <w:b/>
                <w:bCs/>
                <w:color w:val="FFFFFF"/>
                <w:sz w:val="30"/>
                <w:szCs w:val="30"/>
              </w:rPr>
              <w:t>This is a structural revenue unlock.</w:t>
            </w:r>
          </w:p>
        </w:tc>
      </w:tr>
    </w:tbl>
    <w:p w14:paraId="1506DC54" w14:textId="77777777" w:rsidR="00A72F9D" w:rsidRDefault="00A72F9D">
      <w:pPr>
        <w:spacing w:before="160"/>
      </w:pPr>
    </w:p>
    <w:p w14:paraId="433F4F04" w14:textId="77777777" w:rsidR="00A72F9D" w:rsidRDefault="00000000">
      <w:pPr>
        <w:spacing w:after="80"/>
      </w:pPr>
      <w:r>
        <w:rPr>
          <w:b/>
          <w:bCs/>
          <w:color w:val="6B6B6B"/>
          <w:spacing w:val="80"/>
          <w:sz w:val="18"/>
          <w:szCs w:val="18"/>
        </w:rPr>
        <w:t>LAYER 2  ·  QUANTIFIED MODEL</w:t>
      </w:r>
    </w:p>
    <w:p w14:paraId="6EC737BF" w14:textId="77777777" w:rsidR="00A72F9D" w:rsidRDefault="00A72F9D">
      <w:pPr>
        <w:pBdr>
          <w:bottom w:val="single" w:sz="8" w:space="1" w:color="E8251A"/>
        </w:pBdr>
        <w:spacing w:before="60" w:after="60"/>
      </w:pPr>
    </w:p>
    <w:p w14:paraId="6BB29EC8" w14:textId="77777777" w:rsidR="00A72F9D" w:rsidRDefault="00A72F9D">
      <w:pPr>
        <w:spacing w:before="60"/>
      </w:pPr>
    </w:p>
    <w:p w14:paraId="3E825D5C" w14:textId="77777777" w:rsidR="00A72F9D" w:rsidRDefault="00000000">
      <w:pPr>
        <w:spacing w:before="80" w:after="80"/>
      </w:pPr>
      <w:r>
        <w:t>The following estimates are based on modeled scenarios using publicly available pricing and usage data. Assumptions are stated explicitly:</w:t>
      </w:r>
    </w:p>
    <w:p w14:paraId="2A447242" w14:textId="77777777" w:rsidR="00A72F9D" w:rsidRDefault="00A72F9D">
      <w:pPr>
        <w:spacing w:before="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5760"/>
      </w:tblGrid>
      <w:tr w:rsidR="00A72F9D" w14:paraId="0529C122" w14:textId="77777777">
        <w:tblPrEx>
          <w:tblCellMar>
            <w:top w:w="0" w:type="dxa"/>
            <w:bottom w:w="0" w:type="dxa"/>
          </w:tblCellMar>
        </w:tblPrEx>
        <w:tc>
          <w:tcPr>
            <w:tcW w:w="3600" w:type="dxa"/>
            <w:tcBorders>
              <w:top w:val="single" w:sz="1" w:space="0" w:color="E5E5E5"/>
              <w:left w:val="single" w:sz="1" w:space="0" w:color="E5E5E5"/>
              <w:bottom w:val="single" w:sz="1" w:space="0" w:color="E5E5E5"/>
              <w:right w:val="single" w:sz="1" w:space="0" w:color="E5E5E5"/>
            </w:tcBorders>
            <w:shd w:val="clear" w:color="auto" w:fill="1A1A1A"/>
            <w:tcMar>
              <w:top w:w="100" w:type="dxa"/>
              <w:left w:w="160" w:type="dxa"/>
              <w:bottom w:w="100" w:type="dxa"/>
              <w:right w:w="160" w:type="dxa"/>
            </w:tcMar>
          </w:tcPr>
          <w:p w14:paraId="1EE00DAB" w14:textId="77777777" w:rsidR="00A72F9D" w:rsidRDefault="00000000">
            <w:r>
              <w:rPr>
                <w:b/>
                <w:bCs/>
                <w:color w:val="FFFFFF"/>
                <w:sz w:val="20"/>
                <w:szCs w:val="20"/>
              </w:rPr>
              <w:t>Assumption</w:t>
            </w:r>
          </w:p>
        </w:tc>
        <w:tc>
          <w:tcPr>
            <w:tcW w:w="5760" w:type="dxa"/>
            <w:tcBorders>
              <w:top w:val="single" w:sz="1" w:space="0" w:color="E5E5E5"/>
              <w:left w:val="single" w:sz="1" w:space="0" w:color="E5E5E5"/>
              <w:bottom w:val="single" w:sz="1" w:space="0" w:color="E5E5E5"/>
              <w:right w:val="single" w:sz="1" w:space="0" w:color="E5E5E5"/>
            </w:tcBorders>
            <w:shd w:val="clear" w:color="auto" w:fill="1A1A1A"/>
            <w:tcMar>
              <w:top w:w="100" w:type="dxa"/>
              <w:left w:w="160" w:type="dxa"/>
              <w:bottom w:w="100" w:type="dxa"/>
              <w:right w:w="160" w:type="dxa"/>
            </w:tcMar>
          </w:tcPr>
          <w:p w14:paraId="14791BBC" w14:textId="77777777" w:rsidR="00A72F9D" w:rsidRDefault="00000000">
            <w:r>
              <w:rPr>
                <w:b/>
                <w:bCs/>
                <w:color w:val="FFFFFF"/>
                <w:sz w:val="20"/>
                <w:szCs w:val="20"/>
              </w:rPr>
              <w:t>Basis</w:t>
            </w:r>
          </w:p>
        </w:tc>
      </w:tr>
      <w:tr w:rsidR="00A72F9D" w14:paraId="7DC31724" w14:textId="77777777">
        <w:tblPrEx>
          <w:tblCellMar>
            <w:top w:w="0" w:type="dxa"/>
            <w:bottom w:w="0" w:type="dxa"/>
          </w:tblCellMar>
        </w:tblPrEx>
        <w:tc>
          <w:tcPr>
            <w:tcW w:w="3600" w:type="dxa"/>
            <w:tcBorders>
              <w:top w:val="single" w:sz="1" w:space="0" w:color="E5E5E5"/>
              <w:left w:val="single" w:sz="1" w:space="0" w:color="E5E5E5"/>
              <w:bottom w:val="single" w:sz="1" w:space="0" w:color="E5E5E5"/>
              <w:right w:val="single" w:sz="1" w:space="0" w:color="E5E5E5"/>
            </w:tcBorders>
            <w:shd w:val="clear" w:color="auto" w:fill="F5F5F5"/>
            <w:tcMar>
              <w:top w:w="100" w:type="dxa"/>
              <w:left w:w="160" w:type="dxa"/>
              <w:bottom w:w="100" w:type="dxa"/>
              <w:right w:w="160" w:type="dxa"/>
            </w:tcMar>
          </w:tcPr>
          <w:p w14:paraId="2DE2F3EB" w14:textId="77777777" w:rsidR="00A72F9D" w:rsidRDefault="00000000">
            <w:r>
              <w:rPr>
                <w:color w:val="1A1A1A"/>
                <w:sz w:val="20"/>
                <w:szCs w:val="20"/>
              </w:rPr>
              <w:t>5,000 mid-market teams, avg. 50 seats</w:t>
            </w:r>
          </w:p>
        </w:tc>
        <w:tc>
          <w:tcPr>
            <w:tcW w:w="5760" w:type="dxa"/>
            <w:tcBorders>
              <w:top w:val="single" w:sz="1" w:space="0" w:color="E5E5E5"/>
              <w:left w:val="single" w:sz="1" w:space="0" w:color="E5E5E5"/>
              <w:bottom w:val="single" w:sz="1" w:space="0" w:color="E5E5E5"/>
              <w:right w:val="single" w:sz="1" w:space="0" w:color="E5E5E5"/>
            </w:tcBorders>
            <w:shd w:val="clear" w:color="auto" w:fill="FFFFFF"/>
            <w:tcMar>
              <w:top w:w="100" w:type="dxa"/>
              <w:left w:w="160" w:type="dxa"/>
              <w:bottom w:w="100" w:type="dxa"/>
              <w:right w:w="160" w:type="dxa"/>
            </w:tcMar>
          </w:tcPr>
          <w:p w14:paraId="76B44B8B" w14:textId="77777777" w:rsidR="00A72F9D" w:rsidRDefault="00000000">
            <w:r>
              <w:rPr>
                <w:sz w:val="20"/>
                <w:szCs w:val="20"/>
              </w:rPr>
              <w:t>Conservative estimate based on public Notion user base disclosures and PLG conversion benchmarks</w:t>
            </w:r>
          </w:p>
        </w:tc>
      </w:tr>
      <w:tr w:rsidR="00A72F9D" w14:paraId="58E9292F" w14:textId="77777777">
        <w:tblPrEx>
          <w:tblCellMar>
            <w:top w:w="0" w:type="dxa"/>
            <w:bottom w:w="0" w:type="dxa"/>
          </w:tblCellMar>
        </w:tblPrEx>
        <w:tc>
          <w:tcPr>
            <w:tcW w:w="3600" w:type="dxa"/>
            <w:tcBorders>
              <w:top w:val="single" w:sz="1" w:space="0" w:color="E5E5E5"/>
              <w:left w:val="single" w:sz="1" w:space="0" w:color="E5E5E5"/>
              <w:bottom w:val="single" w:sz="1" w:space="0" w:color="E5E5E5"/>
              <w:right w:val="single" w:sz="1" w:space="0" w:color="E5E5E5"/>
            </w:tcBorders>
            <w:shd w:val="clear" w:color="auto" w:fill="F5F5F5"/>
            <w:tcMar>
              <w:top w:w="100" w:type="dxa"/>
              <w:left w:w="160" w:type="dxa"/>
              <w:bottom w:w="100" w:type="dxa"/>
              <w:right w:w="160" w:type="dxa"/>
            </w:tcMar>
          </w:tcPr>
          <w:p w14:paraId="405BC5D3" w14:textId="77777777" w:rsidR="00A72F9D" w:rsidRDefault="00000000">
            <w:r>
              <w:rPr>
                <w:color w:val="1A1A1A"/>
                <w:sz w:val="20"/>
                <w:szCs w:val="20"/>
              </w:rPr>
              <w:t>Upgrade: $15 → $20/user/</w:t>
            </w:r>
            <w:proofErr w:type="spellStart"/>
            <w:r>
              <w:rPr>
                <w:color w:val="1A1A1A"/>
                <w:sz w:val="20"/>
                <w:szCs w:val="20"/>
              </w:rPr>
              <w:t>mo</w:t>
            </w:r>
            <w:proofErr w:type="spellEnd"/>
          </w:p>
        </w:tc>
        <w:tc>
          <w:tcPr>
            <w:tcW w:w="5760" w:type="dxa"/>
            <w:tcBorders>
              <w:top w:val="single" w:sz="1" w:space="0" w:color="E5E5E5"/>
              <w:left w:val="single" w:sz="1" w:space="0" w:color="E5E5E5"/>
              <w:bottom w:val="single" w:sz="1" w:space="0" w:color="E5E5E5"/>
              <w:right w:val="single" w:sz="1" w:space="0" w:color="E5E5E5"/>
            </w:tcBorders>
            <w:shd w:val="clear" w:color="auto" w:fill="FFFFFF"/>
            <w:tcMar>
              <w:top w:w="100" w:type="dxa"/>
              <w:left w:w="160" w:type="dxa"/>
              <w:bottom w:w="100" w:type="dxa"/>
              <w:right w:w="160" w:type="dxa"/>
            </w:tcMar>
          </w:tcPr>
          <w:p w14:paraId="1BC11256" w14:textId="77777777" w:rsidR="00A72F9D" w:rsidRDefault="00000000">
            <w:r>
              <w:rPr>
                <w:sz w:val="20"/>
                <w:szCs w:val="20"/>
              </w:rPr>
              <w:t>Modest per-seat step reflecting mid-market tier pricing architecture</w:t>
            </w:r>
          </w:p>
        </w:tc>
      </w:tr>
      <w:tr w:rsidR="00A72F9D" w14:paraId="40A2061B" w14:textId="77777777">
        <w:tblPrEx>
          <w:tblCellMar>
            <w:top w:w="0" w:type="dxa"/>
            <w:bottom w:w="0" w:type="dxa"/>
          </w:tblCellMar>
        </w:tblPrEx>
        <w:tc>
          <w:tcPr>
            <w:tcW w:w="3600" w:type="dxa"/>
            <w:tcBorders>
              <w:top w:val="single" w:sz="1" w:space="0" w:color="E5E5E5"/>
              <w:left w:val="single" w:sz="1" w:space="0" w:color="E5E5E5"/>
              <w:bottom w:val="single" w:sz="1" w:space="0" w:color="E5E5E5"/>
              <w:right w:val="single" w:sz="1" w:space="0" w:color="E5E5E5"/>
            </w:tcBorders>
            <w:shd w:val="clear" w:color="auto" w:fill="F5F5F5"/>
            <w:tcMar>
              <w:top w:w="100" w:type="dxa"/>
              <w:left w:w="160" w:type="dxa"/>
              <w:bottom w:w="100" w:type="dxa"/>
              <w:right w:w="160" w:type="dxa"/>
            </w:tcMar>
          </w:tcPr>
          <w:p w14:paraId="03DDD5E8" w14:textId="77777777" w:rsidR="00A72F9D" w:rsidRDefault="00000000">
            <w:r>
              <w:rPr>
                <w:color w:val="1A1A1A"/>
                <w:sz w:val="20"/>
                <w:szCs w:val="20"/>
              </w:rPr>
              <w:t>Incremental ARR from this cohort alone</w:t>
            </w:r>
          </w:p>
        </w:tc>
        <w:tc>
          <w:tcPr>
            <w:tcW w:w="5760" w:type="dxa"/>
            <w:tcBorders>
              <w:top w:val="single" w:sz="1" w:space="0" w:color="E5E5E5"/>
              <w:left w:val="single" w:sz="1" w:space="0" w:color="E5E5E5"/>
              <w:bottom w:val="single" w:sz="1" w:space="0" w:color="E5E5E5"/>
              <w:right w:val="single" w:sz="1" w:space="0" w:color="E5E5E5"/>
            </w:tcBorders>
            <w:shd w:val="clear" w:color="auto" w:fill="FFFFFF"/>
            <w:tcMar>
              <w:top w:w="100" w:type="dxa"/>
              <w:left w:w="160" w:type="dxa"/>
              <w:bottom w:w="100" w:type="dxa"/>
              <w:right w:w="160" w:type="dxa"/>
            </w:tcMar>
          </w:tcPr>
          <w:p w14:paraId="7063D2FC" w14:textId="77777777" w:rsidR="00A72F9D" w:rsidRDefault="00000000">
            <w:r>
              <w:rPr>
                <w:sz w:val="20"/>
                <w:szCs w:val="20"/>
              </w:rPr>
              <w:t>$5M+ — without acquiring a single new user</w:t>
            </w:r>
          </w:p>
        </w:tc>
      </w:tr>
      <w:tr w:rsidR="00A72F9D" w14:paraId="2733F58F" w14:textId="77777777">
        <w:tblPrEx>
          <w:tblCellMar>
            <w:top w:w="0" w:type="dxa"/>
            <w:bottom w:w="0" w:type="dxa"/>
          </w:tblCellMar>
        </w:tblPrEx>
        <w:tc>
          <w:tcPr>
            <w:tcW w:w="3600" w:type="dxa"/>
            <w:tcBorders>
              <w:top w:val="single" w:sz="1" w:space="0" w:color="E5E5E5"/>
              <w:left w:val="single" w:sz="1" w:space="0" w:color="E5E5E5"/>
              <w:bottom w:val="single" w:sz="1" w:space="0" w:color="E5E5E5"/>
              <w:right w:val="single" w:sz="1" w:space="0" w:color="E5E5E5"/>
            </w:tcBorders>
            <w:shd w:val="clear" w:color="auto" w:fill="F5F5F5"/>
            <w:tcMar>
              <w:top w:w="100" w:type="dxa"/>
              <w:left w:w="160" w:type="dxa"/>
              <w:bottom w:w="100" w:type="dxa"/>
              <w:right w:w="160" w:type="dxa"/>
            </w:tcMar>
          </w:tcPr>
          <w:p w14:paraId="22D11DB1" w14:textId="77777777" w:rsidR="00A72F9D" w:rsidRDefault="00000000">
            <w:r>
              <w:rPr>
                <w:color w:val="1A1A1A"/>
                <w:sz w:val="20"/>
                <w:szCs w:val="20"/>
              </w:rPr>
              <w:t>Mid-market self-serve unlock</w:t>
            </w:r>
          </w:p>
        </w:tc>
        <w:tc>
          <w:tcPr>
            <w:tcW w:w="5760" w:type="dxa"/>
            <w:tcBorders>
              <w:top w:val="single" w:sz="1" w:space="0" w:color="E5E5E5"/>
              <w:left w:val="single" w:sz="1" w:space="0" w:color="E5E5E5"/>
              <w:bottom w:val="single" w:sz="1" w:space="0" w:color="E5E5E5"/>
              <w:right w:val="single" w:sz="1" w:space="0" w:color="E5E5E5"/>
            </w:tcBorders>
            <w:shd w:val="clear" w:color="auto" w:fill="FFFFFF"/>
            <w:tcMar>
              <w:top w:w="100" w:type="dxa"/>
              <w:left w:w="160" w:type="dxa"/>
              <w:bottom w:w="100" w:type="dxa"/>
              <w:right w:w="160" w:type="dxa"/>
            </w:tcMar>
          </w:tcPr>
          <w:p w14:paraId="4B6CC7A6" w14:textId="77777777" w:rsidR="00A72F9D" w:rsidRDefault="00000000">
            <w:r>
              <w:rPr>
                <w:sz w:val="20"/>
                <w:szCs w:val="20"/>
              </w:rPr>
              <w:t>~50% of Fortune 500 already use Notion; millions more on cheaper plans due to procedural friction alone</w:t>
            </w:r>
          </w:p>
        </w:tc>
      </w:tr>
      <w:tr w:rsidR="00A72F9D" w14:paraId="09B41327" w14:textId="77777777">
        <w:tblPrEx>
          <w:tblCellMar>
            <w:top w:w="0" w:type="dxa"/>
            <w:bottom w:w="0" w:type="dxa"/>
          </w:tblCellMar>
        </w:tblPrEx>
        <w:tc>
          <w:tcPr>
            <w:tcW w:w="3600" w:type="dxa"/>
            <w:tcBorders>
              <w:top w:val="single" w:sz="1" w:space="0" w:color="E5E5E5"/>
              <w:left w:val="single" w:sz="1" w:space="0" w:color="E5E5E5"/>
              <w:bottom w:val="single" w:sz="1" w:space="0" w:color="E5E5E5"/>
              <w:right w:val="single" w:sz="1" w:space="0" w:color="E5E5E5"/>
            </w:tcBorders>
            <w:shd w:val="clear" w:color="auto" w:fill="F5F5F5"/>
            <w:tcMar>
              <w:top w:w="100" w:type="dxa"/>
              <w:left w:w="160" w:type="dxa"/>
              <w:bottom w:w="100" w:type="dxa"/>
              <w:right w:w="160" w:type="dxa"/>
            </w:tcMar>
          </w:tcPr>
          <w:p w14:paraId="0F604904" w14:textId="77777777" w:rsidR="00A72F9D" w:rsidRDefault="00000000">
            <w:r>
              <w:rPr>
                <w:color w:val="1A1A1A"/>
                <w:sz w:val="20"/>
                <w:szCs w:val="20"/>
              </w:rPr>
              <w:t>Constraint → value trigger conversion lift</w:t>
            </w:r>
          </w:p>
        </w:tc>
        <w:tc>
          <w:tcPr>
            <w:tcW w:w="5760" w:type="dxa"/>
            <w:tcBorders>
              <w:top w:val="single" w:sz="1" w:space="0" w:color="E5E5E5"/>
              <w:left w:val="single" w:sz="1" w:space="0" w:color="E5E5E5"/>
              <w:bottom w:val="single" w:sz="1" w:space="0" w:color="E5E5E5"/>
              <w:right w:val="single" w:sz="1" w:space="0" w:color="E5E5E5"/>
            </w:tcBorders>
            <w:shd w:val="clear" w:color="auto" w:fill="FFFFFF"/>
            <w:tcMar>
              <w:top w:w="100" w:type="dxa"/>
              <w:left w:w="160" w:type="dxa"/>
              <w:bottom w:w="100" w:type="dxa"/>
              <w:right w:w="160" w:type="dxa"/>
            </w:tcMar>
          </w:tcPr>
          <w:p w14:paraId="7BDDDEAA" w14:textId="77777777" w:rsidR="00A72F9D" w:rsidRDefault="00000000">
            <w:r>
              <w:rPr>
                <w:sz w:val="20"/>
                <w:szCs w:val="20"/>
              </w:rPr>
              <w:t>15–30% conversion improvement modeled on comparable PLG companies that realigned upgrade framing</w:t>
            </w:r>
          </w:p>
        </w:tc>
      </w:tr>
    </w:tbl>
    <w:p w14:paraId="5C4F6827" w14:textId="77777777" w:rsidR="00A72F9D" w:rsidRDefault="00A72F9D">
      <w:pPr>
        <w:spacing w:before="160"/>
      </w:pPr>
    </w:p>
    <w:p w14:paraId="6D5B87B7" w14:textId="77777777" w:rsidR="00A72F9D" w:rsidRDefault="00000000">
      <w:pPr>
        <w:spacing w:after="80"/>
      </w:pPr>
      <w:r>
        <w:rPr>
          <w:b/>
          <w:bCs/>
          <w:color w:val="6B6B6B"/>
          <w:spacing w:val="80"/>
          <w:sz w:val="18"/>
          <w:szCs w:val="18"/>
        </w:rPr>
        <w:t>LAYER 3  ·  EXPANSION MULTIPLIER</w:t>
      </w:r>
    </w:p>
    <w:p w14:paraId="6B7278BB" w14:textId="77777777" w:rsidR="00A72F9D" w:rsidRDefault="00A72F9D">
      <w:pPr>
        <w:pBdr>
          <w:bottom w:val="single" w:sz="8" w:space="1" w:color="E8251A"/>
        </w:pBdr>
        <w:spacing w:before="60" w:after="60"/>
      </w:pPr>
    </w:p>
    <w:p w14:paraId="218E8483" w14:textId="77777777" w:rsidR="00A72F9D" w:rsidRDefault="00A72F9D">
      <w:pPr>
        <w:spacing w:before="60"/>
      </w:pPr>
    </w:p>
    <w:p w14:paraId="737E62B0" w14:textId="77777777" w:rsidR="00A72F9D" w:rsidRDefault="00000000">
      <w:pPr>
        <w:spacing w:before="80" w:after="80"/>
      </w:pPr>
      <w:r>
        <w:t>The $95M–$135M model is conservative. The true ceiling is higher — because the underlying system fixes are compounding and cross-segment:</w:t>
      </w:r>
    </w:p>
    <w:p w14:paraId="529CF69E" w14:textId="77777777" w:rsidR="00A72F9D" w:rsidRDefault="00A72F9D">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A72F9D" w14:paraId="20210F20" w14:textId="77777777">
        <w:tblPrEx>
          <w:tblCellMar>
            <w:top w:w="0" w:type="dxa"/>
            <w:bottom w:w="0" w:type="dxa"/>
          </w:tblCellMar>
        </w:tblPrEx>
        <w:tc>
          <w:tcPr>
            <w:tcW w:w="3120" w:type="dxa"/>
            <w:tcBorders>
              <w:right w:val="single" w:sz="2" w:space="0" w:color="E5E5E5"/>
            </w:tcBorders>
            <w:shd w:val="clear" w:color="auto" w:fill="F5F5F5"/>
            <w:tcMar>
              <w:top w:w="240" w:type="dxa"/>
              <w:left w:w="240" w:type="dxa"/>
              <w:bottom w:w="240" w:type="dxa"/>
              <w:right w:w="240" w:type="dxa"/>
            </w:tcMar>
          </w:tcPr>
          <w:p w14:paraId="6AADEED3" w14:textId="77777777" w:rsidR="00A72F9D" w:rsidRDefault="00000000">
            <w:pPr>
              <w:spacing w:after="80"/>
            </w:pPr>
            <w:r>
              <w:rPr>
                <w:b/>
                <w:bCs/>
                <w:color w:val="E8251A"/>
                <w:sz w:val="20"/>
                <w:szCs w:val="20"/>
              </w:rPr>
              <w:t>FREE USER BASE</w:t>
            </w:r>
          </w:p>
          <w:p w14:paraId="2DB01648" w14:textId="77777777" w:rsidR="00A72F9D" w:rsidRDefault="00000000">
            <w:r>
              <w:rPr>
                <w:sz w:val="20"/>
                <w:szCs w:val="20"/>
              </w:rPr>
              <w:t>87–95% of users pay nothing today. Value recognition triggers convert this cohort without acquiring anyone new. Even a 2% shift moves the needle at scale.</w:t>
            </w:r>
          </w:p>
        </w:tc>
        <w:tc>
          <w:tcPr>
            <w:tcW w:w="3120" w:type="dxa"/>
            <w:tcBorders>
              <w:right w:val="single" w:sz="2" w:space="0" w:color="E5E5E5"/>
            </w:tcBorders>
            <w:shd w:val="clear" w:color="auto" w:fill="F5F5F5"/>
            <w:tcMar>
              <w:top w:w="240" w:type="dxa"/>
              <w:left w:w="240" w:type="dxa"/>
              <w:bottom w:w="240" w:type="dxa"/>
              <w:right w:w="240" w:type="dxa"/>
            </w:tcMar>
          </w:tcPr>
          <w:p w14:paraId="575384C6" w14:textId="77777777" w:rsidR="00A72F9D" w:rsidRDefault="00000000">
            <w:pPr>
              <w:spacing w:after="80"/>
            </w:pPr>
            <w:r>
              <w:rPr>
                <w:b/>
                <w:bCs/>
                <w:color w:val="E8251A"/>
                <w:sz w:val="20"/>
                <w:szCs w:val="20"/>
              </w:rPr>
              <w:t>MID-MARKET UPGRADE</w:t>
            </w:r>
          </w:p>
          <w:p w14:paraId="3A1977BF" w14:textId="77777777" w:rsidR="00A72F9D" w:rsidRDefault="00000000">
            <w:r>
              <w:rPr>
                <w:sz w:val="20"/>
                <w:szCs w:val="20"/>
              </w:rPr>
              <w:t>5,000+ teams on the wrong plan due to friction, not intent. Self-serve enterprise and progressive triggers convert this segment faster than any sales motion.</w:t>
            </w:r>
          </w:p>
        </w:tc>
        <w:tc>
          <w:tcPr>
            <w:tcW w:w="3120" w:type="dxa"/>
            <w:shd w:val="clear" w:color="auto" w:fill="F5F5F5"/>
            <w:tcMar>
              <w:top w:w="240" w:type="dxa"/>
              <w:left w:w="240" w:type="dxa"/>
              <w:bottom w:w="240" w:type="dxa"/>
              <w:right w:w="240" w:type="dxa"/>
            </w:tcMar>
          </w:tcPr>
          <w:p w14:paraId="7E13AFBA" w14:textId="77777777" w:rsidR="00A72F9D" w:rsidRDefault="00000000">
            <w:pPr>
              <w:spacing w:after="80"/>
            </w:pPr>
            <w:r>
              <w:rPr>
                <w:b/>
                <w:bCs/>
                <w:color w:val="E8251A"/>
                <w:sz w:val="20"/>
                <w:szCs w:val="20"/>
              </w:rPr>
              <w:t>ENTERPRISE EXPANSION</w:t>
            </w:r>
          </w:p>
          <w:p w14:paraId="54496E80" w14:textId="77777777" w:rsidR="00A72F9D" w:rsidRDefault="00000000">
            <w:r>
              <w:rPr>
                <w:sz w:val="20"/>
                <w:szCs w:val="20"/>
              </w:rPr>
              <w:t>Expansion revenue loops tied to team growth events turn NRR from a lagging metric into an automated compounding mechanism.</w:t>
            </w:r>
          </w:p>
        </w:tc>
      </w:tr>
    </w:tbl>
    <w:p w14:paraId="5F0821B0" w14:textId="4BF0E159" w:rsidR="00A72F9D" w:rsidRDefault="00A72F9D"/>
    <w:p w14:paraId="560158B8" w14:textId="77777777" w:rsidR="00A72F9D" w:rsidRDefault="00000000">
      <w:pPr>
        <w:spacing w:before="360" w:after="80"/>
      </w:pPr>
      <w:r>
        <w:rPr>
          <w:b/>
          <w:bCs/>
          <w:color w:val="E8251A"/>
          <w:spacing w:val="120"/>
          <w:sz w:val="16"/>
          <w:szCs w:val="16"/>
        </w:rPr>
        <w:lastRenderedPageBreak/>
        <w:t>08 / CONCLUSION</w:t>
      </w:r>
    </w:p>
    <w:p w14:paraId="0CB56762" w14:textId="77777777" w:rsidR="00A72F9D" w:rsidRDefault="00000000">
      <w:pPr>
        <w:spacing w:before="60" w:after="200"/>
      </w:pPr>
      <w:r>
        <w:rPr>
          <w:b/>
          <w:bCs/>
          <w:color w:val="0A0A0A"/>
          <w:sz w:val="48"/>
          <w:szCs w:val="48"/>
        </w:rPr>
        <w:t>The System That Captures the Value</w:t>
      </w:r>
    </w:p>
    <w:p w14:paraId="264BDA98" w14:textId="77777777" w:rsidR="00A72F9D" w:rsidRDefault="00000000">
      <w:pPr>
        <w:spacing w:before="80" w:after="80"/>
      </w:pPr>
      <w:r>
        <w:t>The diagnosis is unambiguous. Notion has an exceptional product, a massive user base, and compounding team dependency. What it does not have is a revenue architecture calibrated to capture value at the moment it is realized.</w:t>
      </w:r>
    </w:p>
    <w:p w14:paraId="470DB157" w14:textId="77777777" w:rsidR="00A72F9D" w:rsidRDefault="00A72F9D">
      <w:pPr>
        <w:spacing w:before="80"/>
      </w:pPr>
    </w:p>
    <w:p w14:paraId="73593251" w14:textId="77777777" w:rsidR="00A72F9D" w:rsidRDefault="00000000">
      <w:pPr>
        <w:spacing w:before="80" w:after="80"/>
      </w:pPr>
      <w:r>
        <w:t>Fixing this is not a pricing exercise. It is not a growth campaign. It is a revenue systems redesign — triggers, timing, pathways, and framing, all realigned to how teams actually grow inside Notion.</w:t>
      </w:r>
    </w:p>
    <w:p w14:paraId="3FEC33DA" w14:textId="77777777" w:rsidR="00A72F9D" w:rsidRDefault="00A72F9D">
      <w:pPr>
        <w:spacing w:before="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A72F9D" w14:paraId="39DE2BE2" w14:textId="77777777">
        <w:tblPrEx>
          <w:tblCellMar>
            <w:top w:w="0" w:type="dxa"/>
            <w:bottom w:w="0" w:type="dxa"/>
          </w:tblCellMar>
        </w:tblPrEx>
        <w:tc>
          <w:tcPr>
            <w:tcW w:w="9360" w:type="dxa"/>
            <w:tcBorders>
              <w:left w:val="single" w:sz="24" w:space="0" w:color="E8251A"/>
            </w:tcBorders>
            <w:shd w:val="clear" w:color="auto" w:fill="1A1A1A"/>
            <w:tcMar>
              <w:top w:w="400" w:type="dxa"/>
              <w:left w:w="480" w:type="dxa"/>
              <w:bottom w:w="400" w:type="dxa"/>
              <w:right w:w="480" w:type="dxa"/>
            </w:tcMar>
          </w:tcPr>
          <w:p w14:paraId="638E17B9" w14:textId="77777777" w:rsidR="00A72F9D" w:rsidRDefault="00000000">
            <w:pPr>
              <w:spacing w:after="120"/>
            </w:pPr>
            <w:r>
              <w:rPr>
                <w:b/>
                <w:bCs/>
                <w:color w:val="FFFFFF"/>
                <w:sz w:val="40"/>
                <w:szCs w:val="40"/>
              </w:rPr>
              <w:t>Notion has already built the value.</w:t>
            </w:r>
          </w:p>
          <w:p w14:paraId="5D30F2C4" w14:textId="77777777" w:rsidR="00A72F9D" w:rsidRDefault="00000000">
            <w:r>
              <w:rPr>
                <w:b/>
                <w:bCs/>
                <w:color w:val="E8251A"/>
                <w:sz w:val="40"/>
                <w:szCs w:val="40"/>
              </w:rPr>
              <w:t>It just hasn't built the system to capture it.</w:t>
            </w:r>
          </w:p>
        </w:tc>
      </w:tr>
    </w:tbl>
    <w:p w14:paraId="1B465F69" w14:textId="77777777" w:rsidR="00A72F9D" w:rsidRDefault="00A72F9D">
      <w:pPr>
        <w:spacing w:before="160"/>
      </w:pPr>
    </w:p>
    <w:p w14:paraId="75C6FE9B" w14:textId="77777777" w:rsidR="00A72F9D" w:rsidRDefault="00000000">
      <w:pPr>
        <w:spacing w:before="80" w:after="80"/>
      </w:pPr>
      <w:r>
        <w:t>The users are there. The usage is there. The dependency is there. The $95M–$135M gap does not require a new product, a new market, or a new pricing model. It requires revenue architecture that fires at the moment of value — not months later, under duress, through a sales call.</w:t>
      </w:r>
    </w:p>
    <w:p w14:paraId="6E227ABD" w14:textId="77777777" w:rsidR="00A72F9D" w:rsidRDefault="00A72F9D">
      <w:pPr>
        <w:spacing w:before="160"/>
      </w:pPr>
    </w:p>
    <w:p w14:paraId="3BCB9D5F" w14:textId="77777777" w:rsidR="00A72F9D" w:rsidRDefault="00A72F9D">
      <w:pPr>
        <w:pBdr>
          <w:bottom w:val="single" w:sz="2" w:space="1" w:color="E5E5E5"/>
        </w:pBdr>
        <w:spacing w:before="80" w:after="80"/>
      </w:pPr>
    </w:p>
    <w:p w14:paraId="0D6110F8" w14:textId="77777777" w:rsidR="00A72F9D" w:rsidRDefault="00A72F9D">
      <w:pPr>
        <w:spacing w:before="120"/>
      </w:pPr>
    </w:p>
    <w:p w14:paraId="5FD4AA32" w14:textId="77777777" w:rsidR="00A72F9D" w:rsidRDefault="00000000">
      <w:pPr>
        <w:spacing w:after="60"/>
        <w:jc w:val="center"/>
      </w:pPr>
      <w:r>
        <w:rPr>
          <w:color w:val="6B6B6B"/>
          <w:sz w:val="20"/>
          <w:szCs w:val="20"/>
        </w:rPr>
        <w:t>If your product is scaling usage but not revenue —</w:t>
      </w:r>
    </w:p>
    <w:p w14:paraId="7C923187" w14:textId="6BC89BDA" w:rsidR="00A72F9D" w:rsidRDefault="00000000">
      <w:pPr>
        <w:jc w:val="center"/>
      </w:pPr>
      <w:r>
        <w:rPr>
          <w:b/>
          <w:bCs/>
          <w:color w:val="1A1A1A"/>
          <w:sz w:val="20"/>
          <w:szCs w:val="20"/>
        </w:rPr>
        <w:t xml:space="preserve">this is exactly the kind of problem </w:t>
      </w:r>
      <w:r w:rsidR="00273CF0">
        <w:rPr>
          <w:b/>
          <w:bCs/>
          <w:color w:val="1A1A1A"/>
          <w:sz w:val="20"/>
          <w:szCs w:val="20"/>
        </w:rPr>
        <w:t>we</w:t>
      </w:r>
      <w:r>
        <w:rPr>
          <w:b/>
          <w:bCs/>
          <w:color w:val="1A1A1A"/>
          <w:sz w:val="20"/>
          <w:szCs w:val="20"/>
        </w:rPr>
        <w:t xml:space="preserve"> solve.</w:t>
      </w:r>
    </w:p>
    <w:p w14:paraId="0F83016E" w14:textId="77777777" w:rsidR="00A72F9D" w:rsidRDefault="00A72F9D">
      <w:pPr>
        <w:spacing w:before="80"/>
      </w:pPr>
    </w:p>
    <w:p w14:paraId="2FDA9654" w14:textId="77777777" w:rsidR="00A72F9D" w:rsidRDefault="00000000">
      <w:pPr>
        <w:jc w:val="center"/>
      </w:pPr>
      <w:r>
        <w:rPr>
          <w:color w:val="6B6B6B"/>
          <w:sz w:val="20"/>
          <w:szCs w:val="20"/>
        </w:rPr>
        <w:t>Reach out to discuss a revenue architecture engagement tailored to your product, users, and growth stage.</w:t>
      </w:r>
    </w:p>
    <w:p w14:paraId="15FA1A62" w14:textId="77777777" w:rsidR="00A72F9D" w:rsidRDefault="00A72F9D">
      <w:pPr>
        <w:pBdr>
          <w:bottom w:val="single" w:sz="6" w:space="1" w:color="E8251A"/>
        </w:pBdr>
        <w:spacing w:before="80" w:after="80"/>
      </w:pPr>
    </w:p>
    <w:p w14:paraId="1FB5C772" w14:textId="77777777" w:rsidR="00273CF0" w:rsidRDefault="00273CF0">
      <w:pPr>
        <w:pBdr>
          <w:bottom w:val="single" w:sz="6" w:space="1" w:color="E8251A"/>
        </w:pBdr>
        <w:spacing w:before="80" w:after="80"/>
      </w:pPr>
    </w:p>
    <w:sectPr w:rsidR="00273CF0">
      <w:headerReference w:type="default" r:id="rId11"/>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C5283" w14:textId="77777777" w:rsidR="00F60ADE" w:rsidRDefault="00F60ADE">
      <w:r>
        <w:separator/>
      </w:r>
    </w:p>
  </w:endnote>
  <w:endnote w:type="continuationSeparator" w:id="0">
    <w:p w14:paraId="3AF66D2D" w14:textId="77777777" w:rsidR="00F60ADE" w:rsidRDefault="00F6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F9D8F" w14:textId="77777777" w:rsidR="00F60ADE" w:rsidRDefault="00F60ADE">
      <w:r>
        <w:separator/>
      </w:r>
    </w:p>
  </w:footnote>
  <w:footnote w:type="continuationSeparator" w:id="0">
    <w:p w14:paraId="2AF2EDFC" w14:textId="77777777" w:rsidR="00F60ADE" w:rsidRDefault="00F60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97497" w14:textId="77777777" w:rsidR="00A72F9D" w:rsidRDefault="00000000">
    <w:pPr>
      <w:pBdr>
        <w:bottom w:val="single" w:sz="2" w:space="1" w:color="E5E5E5"/>
      </w:pBdr>
      <w:spacing w:after="120"/>
    </w:pPr>
    <w:r>
      <w:rPr>
        <w:color w:val="6B6B6B"/>
        <w:sz w:val="16"/>
        <w:szCs w:val="16"/>
      </w:rPr>
      <w:t>CONFIDENTIAL  ·  STRATEGIC CASE STUDY        NOTION REVENUE ARCHITECTURE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C3DBC"/>
    <w:multiLevelType w:val="hybridMultilevel"/>
    <w:tmpl w:val="13E24028"/>
    <w:lvl w:ilvl="0" w:tplc="ADAAE48C">
      <w:start w:val="1"/>
      <w:numFmt w:val="bullet"/>
      <w:lvlText w:val="●"/>
      <w:lvlJc w:val="left"/>
      <w:pPr>
        <w:ind w:left="720" w:hanging="360"/>
      </w:pPr>
    </w:lvl>
    <w:lvl w:ilvl="1" w:tplc="4ABA4556">
      <w:start w:val="1"/>
      <w:numFmt w:val="bullet"/>
      <w:lvlText w:val="○"/>
      <w:lvlJc w:val="left"/>
      <w:pPr>
        <w:ind w:left="1440" w:hanging="360"/>
      </w:pPr>
    </w:lvl>
    <w:lvl w:ilvl="2" w:tplc="589231EE">
      <w:start w:val="1"/>
      <w:numFmt w:val="bullet"/>
      <w:lvlText w:val="■"/>
      <w:lvlJc w:val="left"/>
      <w:pPr>
        <w:ind w:left="2160" w:hanging="360"/>
      </w:pPr>
    </w:lvl>
    <w:lvl w:ilvl="3" w:tplc="E6666B4A">
      <w:start w:val="1"/>
      <w:numFmt w:val="bullet"/>
      <w:lvlText w:val="●"/>
      <w:lvlJc w:val="left"/>
      <w:pPr>
        <w:ind w:left="2880" w:hanging="360"/>
      </w:pPr>
    </w:lvl>
    <w:lvl w:ilvl="4" w:tplc="8C344AC6">
      <w:start w:val="1"/>
      <w:numFmt w:val="bullet"/>
      <w:lvlText w:val="○"/>
      <w:lvlJc w:val="left"/>
      <w:pPr>
        <w:ind w:left="3600" w:hanging="360"/>
      </w:pPr>
    </w:lvl>
    <w:lvl w:ilvl="5" w:tplc="0040DC76">
      <w:start w:val="1"/>
      <w:numFmt w:val="bullet"/>
      <w:lvlText w:val="■"/>
      <w:lvlJc w:val="left"/>
      <w:pPr>
        <w:ind w:left="4320" w:hanging="360"/>
      </w:pPr>
    </w:lvl>
    <w:lvl w:ilvl="6" w:tplc="21984EA4">
      <w:start w:val="1"/>
      <w:numFmt w:val="bullet"/>
      <w:lvlText w:val="●"/>
      <w:lvlJc w:val="left"/>
      <w:pPr>
        <w:ind w:left="5040" w:hanging="360"/>
      </w:pPr>
    </w:lvl>
    <w:lvl w:ilvl="7" w:tplc="6C7431B4">
      <w:start w:val="1"/>
      <w:numFmt w:val="bullet"/>
      <w:lvlText w:val="●"/>
      <w:lvlJc w:val="left"/>
      <w:pPr>
        <w:ind w:left="5760" w:hanging="360"/>
      </w:pPr>
    </w:lvl>
    <w:lvl w:ilvl="8" w:tplc="3848A00C">
      <w:start w:val="1"/>
      <w:numFmt w:val="bullet"/>
      <w:lvlText w:val="●"/>
      <w:lvlJc w:val="left"/>
      <w:pPr>
        <w:ind w:left="6480" w:hanging="360"/>
      </w:pPr>
    </w:lvl>
  </w:abstractNum>
  <w:abstractNum w:abstractNumId="1" w15:restartNumberingAfterBreak="0">
    <w:nsid w:val="71DD7D30"/>
    <w:multiLevelType w:val="hybridMultilevel"/>
    <w:tmpl w:val="FE909FA0"/>
    <w:lvl w:ilvl="0" w:tplc="48B0E220">
      <w:start w:val="1"/>
      <w:numFmt w:val="bullet"/>
      <w:lvlText w:val="—"/>
      <w:lvlJc w:val="left"/>
      <w:pPr>
        <w:ind w:left="600" w:hanging="300"/>
      </w:pPr>
      <w:rPr>
        <w:rFonts w:ascii="Arial" w:eastAsia="Arial" w:hAnsi="Arial" w:cs="Arial"/>
        <w:color w:val="E8251A"/>
      </w:rPr>
    </w:lvl>
    <w:lvl w:ilvl="1" w:tplc="99668A2C">
      <w:numFmt w:val="decimal"/>
      <w:lvlText w:val=""/>
      <w:lvlJc w:val="left"/>
    </w:lvl>
    <w:lvl w:ilvl="2" w:tplc="311C8320">
      <w:numFmt w:val="decimal"/>
      <w:lvlText w:val=""/>
      <w:lvlJc w:val="left"/>
    </w:lvl>
    <w:lvl w:ilvl="3" w:tplc="D45EAE70">
      <w:numFmt w:val="decimal"/>
      <w:lvlText w:val=""/>
      <w:lvlJc w:val="left"/>
    </w:lvl>
    <w:lvl w:ilvl="4" w:tplc="9DF2C7E2">
      <w:numFmt w:val="decimal"/>
      <w:lvlText w:val=""/>
      <w:lvlJc w:val="left"/>
    </w:lvl>
    <w:lvl w:ilvl="5" w:tplc="AF1C54C4">
      <w:numFmt w:val="decimal"/>
      <w:lvlText w:val=""/>
      <w:lvlJc w:val="left"/>
    </w:lvl>
    <w:lvl w:ilvl="6" w:tplc="526C6CD4">
      <w:numFmt w:val="decimal"/>
      <w:lvlText w:val=""/>
      <w:lvlJc w:val="left"/>
    </w:lvl>
    <w:lvl w:ilvl="7" w:tplc="788895B4">
      <w:numFmt w:val="decimal"/>
      <w:lvlText w:val=""/>
      <w:lvlJc w:val="left"/>
    </w:lvl>
    <w:lvl w:ilvl="8" w:tplc="84AAEC4E">
      <w:numFmt w:val="decimal"/>
      <w:lvlText w:val=""/>
      <w:lvlJc w:val="left"/>
    </w:lvl>
  </w:abstractNum>
  <w:num w:numId="1" w16cid:durableId="1280260469">
    <w:abstractNumId w:val="0"/>
    <w:lvlOverride w:ilvl="0">
      <w:startOverride w:val="1"/>
    </w:lvlOverride>
  </w:num>
  <w:num w:numId="2" w16cid:durableId="164719780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F9D"/>
    <w:rsid w:val="00021635"/>
    <w:rsid w:val="001C22A8"/>
    <w:rsid w:val="00273CF0"/>
    <w:rsid w:val="002C3358"/>
    <w:rsid w:val="00A72F9D"/>
    <w:rsid w:val="00B4489E"/>
    <w:rsid w:val="00E20DAF"/>
    <w:rsid w:val="00F60A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F0D8F"/>
  <w15:docId w15:val="{D5F41C92-5400-4836-B922-F75306C0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D3D3D"/>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D38449-FA40-402C-A371-9DD0862E7C33}">
  <we:reference id="wa200000368" version="1.0.0.0" store="en-001" storeType="OMEX"/>
  <we:alternateReferences>
    <we:reference id="WA200000368" version="1.0.0.0" store="" storeType="OMEX"/>
  </we:alternateReferences>
  <we:properties>
    <we:property name="documentId" value="&quot;7f0233b7d0cba55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33</TotalTime>
  <Pages>13</Pages>
  <Words>2264</Words>
  <Characters>12908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Aman Undirwade</cp:lastModifiedBy>
  <cp:revision>4</cp:revision>
  <cp:lastPrinted>2026-04-26T07:16:00Z</cp:lastPrinted>
  <dcterms:created xsi:type="dcterms:W3CDTF">2026-04-26T06:49:00Z</dcterms:created>
  <dcterms:modified xsi:type="dcterms:W3CDTF">2026-04-26T07:18:00Z</dcterms:modified>
</cp:coreProperties>
</file>